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7B" w:rsidRDefault="00C8127B" w:rsidP="00C8127B">
      <w:pPr>
        <w:jc w:val="center"/>
        <w:outlineLvl w:val="0"/>
        <w:rPr>
          <w:rFonts w:eastAsia="黑体"/>
          <w:sz w:val="36"/>
        </w:rPr>
      </w:pPr>
      <w:bookmarkStart w:id="0" w:name="_Toc327174170"/>
      <w:bookmarkStart w:id="1" w:name="_GoBack"/>
      <w:r>
        <w:rPr>
          <w:rFonts w:eastAsia="黑体"/>
          <w:sz w:val="36"/>
        </w:rPr>
        <w:t>中国农业科学院农业信息研究所</w:t>
      </w:r>
      <w:bookmarkEnd w:id="0"/>
    </w:p>
    <w:p w:rsidR="00C8127B" w:rsidRDefault="00C8127B" w:rsidP="00C8127B">
      <w:pPr>
        <w:jc w:val="center"/>
        <w:outlineLvl w:val="0"/>
        <w:rPr>
          <w:rFonts w:eastAsia="黑体"/>
          <w:sz w:val="36"/>
        </w:rPr>
      </w:pPr>
      <w:bookmarkStart w:id="2" w:name="_Toc327174171"/>
      <w:r>
        <w:rPr>
          <w:rFonts w:eastAsia="黑体"/>
          <w:sz w:val="36"/>
        </w:rPr>
        <w:t>关于政府采购的规定</w:t>
      </w:r>
      <w:bookmarkEnd w:id="2"/>
    </w:p>
    <w:bookmarkEnd w:id="1"/>
    <w:p w:rsidR="00C8127B" w:rsidRDefault="00C8127B" w:rsidP="00C8127B">
      <w:pPr>
        <w:jc w:val="center"/>
        <w:rPr>
          <w:rFonts w:eastAsia="仿宋_GB2312"/>
        </w:rPr>
      </w:pPr>
    </w:p>
    <w:p w:rsidR="00C8127B" w:rsidRDefault="00C8127B" w:rsidP="00C8127B">
      <w:pPr>
        <w:spacing w:line="480" w:lineRule="exact"/>
        <w:ind w:firstLineChars="200" w:firstLine="480"/>
      </w:pPr>
      <w:r>
        <w:rPr>
          <w:rFonts w:hint="eastAsia"/>
        </w:rPr>
        <w:t>为切实加强对政府采购工作的管理，提高资金、设备的使用效率和管理水平。根据《中华人民共和国政府采购法》、《农业部政府采购管理办法》等国家有关法律、法规，特制定本办法。</w:t>
      </w:r>
    </w:p>
    <w:p w:rsidR="00C8127B" w:rsidRDefault="00C8127B" w:rsidP="00C8127B">
      <w:pPr>
        <w:pStyle w:val="a3"/>
        <w:spacing w:line="480" w:lineRule="exact"/>
        <w:ind w:firstLineChars="200" w:firstLine="482"/>
        <w:rPr>
          <w:rFonts w:ascii="Times New Roman" w:hAnsi="Times New Roman"/>
          <w:sz w:val="24"/>
        </w:rPr>
      </w:pPr>
      <w:r>
        <w:rPr>
          <w:rFonts w:ascii="楷体_GB2312" w:eastAsia="楷体_GB2312" w:hAnsi="Times New Roman" w:hint="eastAsia"/>
          <w:b/>
          <w:sz w:val="24"/>
        </w:rPr>
        <w:t>第一条</w:t>
      </w:r>
      <w:r>
        <w:rPr>
          <w:rFonts w:ascii="Times New Roman" w:hAnsi="Times New Roman" w:hint="eastAsia"/>
          <w:sz w:val="24"/>
        </w:rPr>
        <w:t xml:space="preserve">  </w:t>
      </w:r>
      <w:r>
        <w:rPr>
          <w:rFonts w:ascii="Times New Roman" w:hAnsi="Times New Roman" w:hint="eastAsia"/>
          <w:sz w:val="24"/>
        </w:rPr>
        <w:t>政府采购是指使用信息所各种资金采购国务院制定的</w:t>
      </w:r>
      <w:r>
        <w:rPr>
          <w:rFonts w:ascii="Times New Roman" w:hAnsi="Times New Roman"/>
          <w:sz w:val="24"/>
        </w:rPr>
        <w:t>集中采购目录以内的</w:t>
      </w:r>
      <w:r>
        <w:rPr>
          <w:rFonts w:ascii="Times New Roman" w:hAnsi="Times New Roman" w:hint="eastAsia"/>
          <w:sz w:val="24"/>
        </w:rPr>
        <w:t>或者</w:t>
      </w:r>
      <w:r>
        <w:rPr>
          <w:rFonts w:ascii="Times New Roman" w:hAnsi="Times New Roman"/>
          <w:sz w:val="24"/>
        </w:rPr>
        <w:t>采购限额标准以上的货物、工程和服务的行为</w:t>
      </w:r>
      <w:r>
        <w:rPr>
          <w:rFonts w:ascii="Times New Roman" w:hAnsi="Times New Roman" w:hint="eastAsia"/>
          <w:sz w:val="24"/>
        </w:rPr>
        <w:t>。</w:t>
      </w:r>
    </w:p>
    <w:p w:rsidR="00C8127B" w:rsidRDefault="00C8127B" w:rsidP="00C8127B">
      <w:pPr>
        <w:pStyle w:val="a3"/>
        <w:adjustRightInd w:val="0"/>
        <w:snapToGrid w:val="0"/>
        <w:spacing w:line="480" w:lineRule="exact"/>
        <w:ind w:firstLineChars="200" w:firstLine="482"/>
        <w:rPr>
          <w:rFonts w:ascii="Times New Roman" w:hAnsi="Times New Roman"/>
          <w:sz w:val="24"/>
        </w:rPr>
      </w:pPr>
      <w:r>
        <w:rPr>
          <w:rFonts w:ascii="楷体_GB2312" w:eastAsia="楷体_GB2312" w:hAnsi="Times New Roman" w:hint="eastAsia"/>
          <w:b/>
          <w:sz w:val="24"/>
        </w:rPr>
        <w:t>第二条</w:t>
      </w:r>
      <w:r>
        <w:rPr>
          <w:rFonts w:ascii="Times New Roman" w:hAnsi="Times New Roman" w:hint="eastAsia"/>
          <w:sz w:val="24"/>
        </w:rPr>
        <w:t xml:space="preserve">  </w:t>
      </w:r>
      <w:r>
        <w:rPr>
          <w:rFonts w:ascii="Times New Roman" w:hAnsi="Times New Roman" w:hint="eastAsia"/>
          <w:sz w:val="24"/>
        </w:rPr>
        <w:t>国务院制定的</w:t>
      </w:r>
      <w:r>
        <w:rPr>
          <w:rFonts w:ascii="Times New Roman" w:hAnsi="Times New Roman"/>
          <w:sz w:val="24"/>
        </w:rPr>
        <w:t>集中采购目录以内的货物、工程和服务</w:t>
      </w:r>
      <w:r>
        <w:rPr>
          <w:rFonts w:ascii="Times New Roman" w:hAnsi="Times New Roman" w:hint="eastAsia"/>
          <w:sz w:val="24"/>
        </w:rPr>
        <w:t>是指：在</w:t>
      </w:r>
      <w:r>
        <w:rPr>
          <w:rFonts w:hAnsi="宋体" w:hint="eastAsia"/>
          <w:sz w:val="24"/>
        </w:rPr>
        <w:t>“中央政府采购网</w:t>
      </w:r>
      <w:r w:rsidRPr="00532261">
        <w:rPr>
          <w:rStyle w:val="a4"/>
          <w:rFonts w:ascii="Times New Roman" w:hAnsi="Times New Roman" w:hint="eastAsia"/>
          <w:sz w:val="24"/>
          <w:szCs w:val="24"/>
        </w:rPr>
        <w:t>www.zycg.gov.cn</w:t>
      </w:r>
      <w:r>
        <w:rPr>
          <w:rFonts w:hAnsi="宋体" w:hint="eastAsia"/>
          <w:sz w:val="24"/>
        </w:rPr>
        <w:t>”上查阅到的产品项目信息，该集中采购目录通常按年度进行更新。</w:t>
      </w:r>
      <w:r>
        <w:rPr>
          <w:rFonts w:hint="eastAsia"/>
          <w:sz w:val="24"/>
        </w:rPr>
        <w:t>属于政府集中采购目录范围的项目，不论金额大小，必须委托中央国家机关政府采购中心采购，特殊情况需要自行采购的，首先经中央国家机关政府采购中心同意，报财政部审批。</w:t>
      </w:r>
    </w:p>
    <w:p w:rsidR="00C8127B" w:rsidRDefault="00C8127B" w:rsidP="00C8127B">
      <w:pPr>
        <w:pStyle w:val="a3"/>
        <w:adjustRightInd w:val="0"/>
        <w:snapToGrid w:val="0"/>
        <w:spacing w:line="480" w:lineRule="exact"/>
        <w:ind w:firstLineChars="200" w:firstLine="482"/>
        <w:rPr>
          <w:rFonts w:ascii="Times New Roman" w:hAnsi="Times New Roman"/>
          <w:sz w:val="24"/>
        </w:rPr>
      </w:pPr>
      <w:r>
        <w:rPr>
          <w:rFonts w:ascii="楷体_GB2312" w:eastAsia="楷体_GB2312" w:hAnsi="Times New Roman" w:hint="eastAsia"/>
          <w:b/>
          <w:sz w:val="24"/>
        </w:rPr>
        <w:t>第三条</w:t>
      </w:r>
      <w:r>
        <w:rPr>
          <w:rFonts w:ascii="Times New Roman" w:hAnsi="Times New Roman" w:hint="eastAsia"/>
          <w:sz w:val="24"/>
        </w:rPr>
        <w:t xml:space="preserve">  </w:t>
      </w:r>
      <w:r>
        <w:rPr>
          <w:rFonts w:ascii="Times New Roman" w:hAnsi="Times New Roman"/>
          <w:sz w:val="24"/>
        </w:rPr>
        <w:t>采购限额标准以上的货物、工程和服务</w:t>
      </w:r>
      <w:r>
        <w:rPr>
          <w:rFonts w:ascii="Times New Roman" w:hAnsi="Times New Roman" w:hint="eastAsia"/>
          <w:sz w:val="24"/>
        </w:rPr>
        <w:t>是指：除政府集中采购目录和部门集中采购项目外，各部门自行采购（单项或批量）达到</w:t>
      </w:r>
      <w:r>
        <w:rPr>
          <w:rFonts w:ascii="Times New Roman" w:hAnsi="Times New Roman" w:hint="eastAsia"/>
          <w:sz w:val="24"/>
        </w:rPr>
        <w:t>50</w:t>
      </w:r>
      <w:r>
        <w:rPr>
          <w:rFonts w:ascii="Times New Roman" w:hAnsi="Times New Roman" w:hint="eastAsia"/>
          <w:sz w:val="24"/>
        </w:rPr>
        <w:t>万元以上的货物和服务的项目，</w:t>
      </w:r>
      <w:r>
        <w:rPr>
          <w:rFonts w:ascii="Times New Roman" w:hAnsi="Times New Roman" w:hint="eastAsia"/>
          <w:sz w:val="24"/>
        </w:rPr>
        <w:t>60</w:t>
      </w:r>
      <w:r>
        <w:rPr>
          <w:rFonts w:ascii="Times New Roman" w:hAnsi="Times New Roman" w:hint="eastAsia"/>
          <w:sz w:val="24"/>
        </w:rPr>
        <w:t>万元以上工程项目应执行《中华人民共和国政府采购法》和《中华人民共和国招标投标法》有关规定。</w:t>
      </w:r>
    </w:p>
    <w:p w:rsidR="00C8127B" w:rsidRDefault="00C8127B" w:rsidP="00C8127B">
      <w:pPr>
        <w:spacing w:line="480" w:lineRule="exact"/>
        <w:ind w:firstLineChars="200" w:firstLine="482"/>
      </w:pPr>
      <w:r>
        <w:rPr>
          <w:rFonts w:ascii="楷体_GB2312" w:eastAsia="楷体_GB2312" w:hint="eastAsia"/>
          <w:b/>
        </w:rPr>
        <w:t>第四条</w:t>
      </w:r>
      <w:r>
        <w:rPr>
          <w:rFonts w:hint="eastAsia"/>
        </w:rPr>
        <w:t xml:space="preserve">  </w:t>
      </w:r>
      <w:r>
        <w:rPr>
          <w:rFonts w:hint="eastAsia"/>
        </w:rPr>
        <w:t>政府采购货物和服务公开招标数额标准是指：政府采购货物或服务的项目，单项或批量采购金额一次性达到</w:t>
      </w:r>
      <w:r>
        <w:rPr>
          <w:rFonts w:hint="eastAsia"/>
        </w:rPr>
        <w:t>120</w:t>
      </w:r>
      <w:r>
        <w:rPr>
          <w:rFonts w:hint="eastAsia"/>
        </w:rPr>
        <w:t>万元以上的，必须采用公开招标采购方式。政府采购工程公开招标数额标准按照国务院有关规定执行。当前的规定是</w:t>
      </w:r>
      <w:r>
        <w:rPr>
          <w:rFonts w:hint="eastAsia"/>
        </w:rPr>
        <w:t>200</w:t>
      </w:r>
      <w:r>
        <w:rPr>
          <w:rFonts w:hint="eastAsia"/>
        </w:rPr>
        <w:t>万元以上工程应采用公开招标方式。</w:t>
      </w:r>
    </w:p>
    <w:p w:rsidR="00C8127B" w:rsidRDefault="00C8127B" w:rsidP="00C8127B">
      <w:pPr>
        <w:spacing w:line="480" w:lineRule="exact"/>
        <w:ind w:firstLineChars="200" w:firstLine="482"/>
      </w:pPr>
      <w:r w:rsidRPr="008518C9">
        <w:rPr>
          <w:rFonts w:ascii="楷体_GB2312" w:eastAsia="楷体_GB2312" w:hAnsi="楷体" w:hint="eastAsia"/>
          <w:b/>
        </w:rPr>
        <w:t>第五条</w:t>
      </w:r>
      <w:r>
        <w:rPr>
          <w:rFonts w:hint="eastAsia"/>
        </w:rPr>
        <w:t xml:space="preserve">  </w:t>
      </w:r>
      <w:r>
        <w:rPr>
          <w:rFonts w:hint="eastAsia"/>
        </w:rPr>
        <w:t>根据《财政部</w:t>
      </w:r>
      <w:r>
        <w:rPr>
          <w:rFonts w:hint="eastAsia"/>
        </w:rPr>
        <w:t xml:space="preserve"> </w:t>
      </w:r>
      <w:r>
        <w:rPr>
          <w:rFonts w:hint="eastAsia"/>
        </w:rPr>
        <w:t>中国民用航空局关于加强公务机票购买管理有关事项的通知》要求，公务机票以政府采购方式购买。</w:t>
      </w:r>
    </w:p>
    <w:p w:rsidR="00C8127B" w:rsidRDefault="00C8127B" w:rsidP="00C8127B">
      <w:pPr>
        <w:spacing w:line="480" w:lineRule="exact"/>
        <w:ind w:firstLineChars="200" w:firstLine="482"/>
      </w:pPr>
      <w:r w:rsidRPr="008518C9">
        <w:rPr>
          <w:rFonts w:ascii="楷体_GB2312" w:eastAsia="楷体_GB2312" w:hint="eastAsia"/>
          <w:b/>
        </w:rPr>
        <w:t>第六条</w:t>
      </w:r>
      <w:r>
        <w:rPr>
          <w:rFonts w:hint="eastAsia"/>
        </w:rPr>
        <w:t xml:space="preserve">  </w:t>
      </w:r>
      <w:r>
        <w:rPr>
          <w:rFonts w:hint="eastAsia"/>
        </w:rPr>
        <w:t>预算在</w:t>
      </w:r>
      <w:r>
        <w:rPr>
          <w:rFonts w:hint="eastAsia"/>
        </w:rPr>
        <w:t>10</w:t>
      </w:r>
      <w:r>
        <w:rPr>
          <w:rFonts w:hint="eastAsia"/>
        </w:rPr>
        <w:t>万元（含</w:t>
      </w:r>
      <w:r>
        <w:rPr>
          <w:rFonts w:hint="eastAsia"/>
        </w:rPr>
        <w:t>10</w:t>
      </w:r>
      <w:r>
        <w:rPr>
          <w:rFonts w:hint="eastAsia"/>
        </w:rPr>
        <w:t>万元）以上</w:t>
      </w:r>
      <w:r>
        <w:rPr>
          <w:rFonts w:hint="eastAsia"/>
        </w:rPr>
        <w:t>60</w:t>
      </w:r>
      <w:r>
        <w:rPr>
          <w:rFonts w:hint="eastAsia"/>
        </w:rPr>
        <w:t>万元以下的工程项目实行定点采购，</w:t>
      </w:r>
      <w:r>
        <w:rPr>
          <w:rFonts w:hint="eastAsia"/>
        </w:rPr>
        <w:t>60</w:t>
      </w:r>
      <w:r>
        <w:rPr>
          <w:rFonts w:hint="eastAsia"/>
        </w:rPr>
        <w:t>万元（含</w:t>
      </w:r>
      <w:r>
        <w:rPr>
          <w:rFonts w:hint="eastAsia"/>
        </w:rPr>
        <w:t>60</w:t>
      </w:r>
      <w:r>
        <w:rPr>
          <w:rFonts w:hint="eastAsia"/>
        </w:rPr>
        <w:t>万元）以上</w:t>
      </w:r>
      <w:r>
        <w:rPr>
          <w:rFonts w:hint="eastAsia"/>
        </w:rPr>
        <w:t>200</w:t>
      </w:r>
      <w:r>
        <w:rPr>
          <w:rFonts w:hint="eastAsia"/>
        </w:rPr>
        <w:t>万元以下工程项目以邀请招标或竞争性谈判方式确定施工企业，</w:t>
      </w:r>
      <w:r>
        <w:rPr>
          <w:rFonts w:hint="eastAsia"/>
        </w:rPr>
        <w:t>200</w:t>
      </w:r>
      <w:r>
        <w:rPr>
          <w:rFonts w:hint="eastAsia"/>
        </w:rPr>
        <w:t>万元（含）以上项目委托</w:t>
      </w:r>
      <w:proofErr w:type="gramStart"/>
      <w:r>
        <w:rPr>
          <w:rFonts w:hint="eastAsia"/>
        </w:rPr>
        <w:t>国采中心</w:t>
      </w:r>
      <w:proofErr w:type="gramEnd"/>
      <w:r>
        <w:rPr>
          <w:rFonts w:hint="eastAsia"/>
        </w:rPr>
        <w:t>公开招标组织实施。</w:t>
      </w:r>
    </w:p>
    <w:p w:rsidR="00C8127B" w:rsidRDefault="00C8127B" w:rsidP="00C8127B">
      <w:pPr>
        <w:spacing w:line="480" w:lineRule="exact"/>
        <w:ind w:firstLineChars="200" w:firstLine="482"/>
      </w:pPr>
      <w:r w:rsidRPr="008518C9">
        <w:rPr>
          <w:rFonts w:ascii="楷体_GB2312" w:eastAsia="楷体_GB2312" w:hint="eastAsia"/>
          <w:b/>
        </w:rPr>
        <w:t>第七条</w:t>
      </w:r>
      <w:r>
        <w:rPr>
          <w:rFonts w:hint="eastAsia"/>
        </w:rPr>
        <w:t xml:space="preserve">  </w:t>
      </w:r>
      <w:r>
        <w:rPr>
          <w:rFonts w:hint="eastAsia"/>
        </w:rPr>
        <w:t>监理费预算在</w:t>
      </w:r>
      <w:r>
        <w:rPr>
          <w:rFonts w:hint="eastAsia"/>
        </w:rPr>
        <w:t>50</w:t>
      </w:r>
      <w:r>
        <w:rPr>
          <w:rFonts w:hint="eastAsia"/>
        </w:rPr>
        <w:t>万元以下的工程监理项目，实行定点采购。监理</w:t>
      </w:r>
      <w:r>
        <w:rPr>
          <w:rFonts w:hint="eastAsia"/>
        </w:rPr>
        <w:lastRenderedPageBreak/>
        <w:t>费预算超过</w:t>
      </w:r>
      <w:r>
        <w:rPr>
          <w:rFonts w:hint="eastAsia"/>
        </w:rPr>
        <w:t>50</w:t>
      </w:r>
      <w:r>
        <w:rPr>
          <w:rFonts w:hint="eastAsia"/>
        </w:rPr>
        <w:t>万元（含</w:t>
      </w:r>
      <w:r>
        <w:rPr>
          <w:rFonts w:hint="eastAsia"/>
        </w:rPr>
        <w:t>50</w:t>
      </w:r>
      <w:r>
        <w:rPr>
          <w:rFonts w:hint="eastAsia"/>
        </w:rPr>
        <w:t>万元）的工程监理项目，必须委托</w:t>
      </w:r>
      <w:proofErr w:type="gramStart"/>
      <w:r>
        <w:rPr>
          <w:rFonts w:hint="eastAsia"/>
        </w:rPr>
        <w:t>国采中心</w:t>
      </w:r>
      <w:proofErr w:type="gramEnd"/>
      <w:r>
        <w:rPr>
          <w:rFonts w:hint="eastAsia"/>
        </w:rPr>
        <w:t>进行招标。</w:t>
      </w:r>
    </w:p>
    <w:p w:rsidR="00C8127B" w:rsidRDefault="00C8127B" w:rsidP="00C8127B">
      <w:pPr>
        <w:spacing w:line="480" w:lineRule="exact"/>
        <w:ind w:firstLineChars="200" w:firstLine="480"/>
      </w:pPr>
    </w:p>
    <w:p w:rsidR="00C8127B" w:rsidRDefault="00C8127B" w:rsidP="00C8127B">
      <w:pPr>
        <w:spacing w:line="480" w:lineRule="exact"/>
        <w:ind w:firstLineChars="200" w:firstLine="482"/>
      </w:pPr>
      <w:r w:rsidRPr="008518C9">
        <w:rPr>
          <w:rFonts w:ascii="楷体_GB2312" w:eastAsia="楷体_GB2312" w:hint="eastAsia"/>
          <w:b/>
        </w:rPr>
        <w:t>第八条</w:t>
      </w:r>
      <w:r>
        <w:rPr>
          <w:rFonts w:hint="eastAsia"/>
        </w:rPr>
        <w:t xml:space="preserve">  </w:t>
      </w:r>
      <w:r>
        <w:rPr>
          <w:rFonts w:hint="eastAsia"/>
        </w:rPr>
        <w:t>所需采购的产品在中国境内无法获取或者无法以合理的商业条件获取，以及法律法规另有规定确需采购进口产品（进口产品是指通过中国海关报关验放进入中国境内且产自关境外的产品）的，应按《政府采购进口管理办法》履行报批手续并在获得财政部门核准后，依法开展政府采购活动。</w:t>
      </w:r>
    </w:p>
    <w:p w:rsidR="00C8127B" w:rsidRDefault="00C8127B" w:rsidP="00C8127B">
      <w:pPr>
        <w:spacing w:line="480" w:lineRule="exact"/>
        <w:ind w:firstLineChars="200" w:firstLine="482"/>
      </w:pPr>
      <w:r w:rsidRPr="008518C9">
        <w:rPr>
          <w:rFonts w:ascii="楷体_GB2312" w:eastAsia="楷体_GB2312" w:hint="eastAsia"/>
          <w:b/>
        </w:rPr>
        <w:t>第九条</w:t>
      </w:r>
      <w:r>
        <w:rPr>
          <w:rFonts w:hint="eastAsia"/>
        </w:rPr>
        <w:t xml:space="preserve">  </w:t>
      </w:r>
      <w:r>
        <w:rPr>
          <w:rFonts w:hint="eastAsia"/>
        </w:rPr>
        <w:t>属于政府强制采购的节能产品，必须执行节能产品的有关规定。</w:t>
      </w:r>
      <w:r>
        <w:rPr>
          <w:rFonts w:hint="eastAsia"/>
        </w:rPr>
        <w:t>9</w:t>
      </w:r>
      <w:r>
        <w:rPr>
          <w:rFonts w:hint="eastAsia"/>
        </w:rPr>
        <w:t>类节能产品目录到“中央政府采购网</w:t>
      </w:r>
      <w:r>
        <w:rPr>
          <w:rFonts w:hint="eastAsia"/>
        </w:rPr>
        <w:t>www.zycg.gov.cn</w:t>
      </w:r>
      <w:r>
        <w:rPr>
          <w:rFonts w:hint="eastAsia"/>
        </w:rPr>
        <w:t>”查询“节能产品政府采购清单”，该名单将定期进行调整。</w:t>
      </w:r>
    </w:p>
    <w:p w:rsidR="00C8127B" w:rsidRDefault="00C8127B" w:rsidP="00C8127B">
      <w:pPr>
        <w:spacing w:line="480" w:lineRule="exact"/>
        <w:ind w:firstLineChars="200" w:firstLine="480"/>
      </w:pPr>
    </w:p>
    <w:p w:rsidR="00C8127B" w:rsidRPr="008518C9" w:rsidRDefault="00C8127B" w:rsidP="00C8127B">
      <w:pPr>
        <w:spacing w:line="480" w:lineRule="exact"/>
        <w:ind w:firstLineChars="200" w:firstLine="482"/>
      </w:pPr>
      <w:r w:rsidRPr="008518C9">
        <w:rPr>
          <w:rFonts w:ascii="楷体_GB2312" w:eastAsia="楷体_GB2312" w:hint="eastAsia"/>
          <w:b/>
        </w:rPr>
        <w:t>第十条</w:t>
      </w:r>
      <w:r>
        <w:rPr>
          <w:rFonts w:hint="eastAsia"/>
        </w:rPr>
        <w:t xml:space="preserve">  </w:t>
      </w:r>
      <w:r>
        <w:rPr>
          <w:rFonts w:hint="eastAsia"/>
        </w:rPr>
        <w:t>政府采购预算是指信息所根据事业发展计划和行政任务编制的、并经过规定程序批准的年度政府采购计划。政府采购预算是部门预算的重要组成部分，也是政府采购工作的基础。信息所进行部门预算编制时，需要采购货物、工程和服务的部门、处室，应当按部门预算的编制要求，编制本部门、处室下一年度政府采购预算表，由财务资产处进行汇总，纳入部门预算并统一上报院财务局。按照目前国家政府采购规定，没有政府采购预算不能执行政府采购。特殊情况下，可在预算执行年的</w:t>
      </w:r>
      <w:r>
        <w:rPr>
          <w:rFonts w:hint="eastAsia"/>
        </w:rPr>
        <w:t>6</w:t>
      </w:r>
      <w:r>
        <w:rPr>
          <w:rFonts w:hint="eastAsia"/>
        </w:rPr>
        <w:t>月份前追加政府采购预算，需逐级上报并由财政部审批后，方可执行政府采购活动。</w:t>
      </w:r>
    </w:p>
    <w:p w:rsidR="00C8127B" w:rsidRDefault="00C8127B" w:rsidP="00C8127B">
      <w:pPr>
        <w:pStyle w:val="a5"/>
        <w:spacing w:line="480" w:lineRule="exact"/>
        <w:ind w:firstLineChars="200" w:firstLine="480"/>
        <w:rPr>
          <w:rFonts w:ascii="宋体" w:eastAsia="宋体" w:hAnsi="宋体" w:cs="Times New Roman"/>
          <w:kern w:val="2"/>
          <w:szCs w:val="21"/>
        </w:rPr>
      </w:pPr>
      <w:r>
        <w:rPr>
          <w:rFonts w:ascii="宋体" w:eastAsia="宋体" w:hAnsi="宋体" w:cs="Times New Roman" w:hint="eastAsia"/>
          <w:kern w:val="2"/>
          <w:szCs w:val="21"/>
        </w:rPr>
        <w:t>政府采购预算表格式如下：</w:t>
      </w:r>
    </w:p>
    <w:tbl>
      <w:tblPr>
        <w:tblW w:w="8804" w:type="dxa"/>
        <w:tblInd w:w="93" w:type="dxa"/>
        <w:tblLayout w:type="fixed"/>
        <w:tblLook w:val="0000" w:firstRow="0" w:lastRow="0" w:firstColumn="0" w:lastColumn="0" w:noHBand="0" w:noVBand="0"/>
      </w:tblPr>
      <w:tblGrid>
        <w:gridCol w:w="1095"/>
        <w:gridCol w:w="1047"/>
        <w:gridCol w:w="189"/>
        <w:gridCol w:w="1512"/>
        <w:gridCol w:w="1134"/>
        <w:gridCol w:w="992"/>
        <w:gridCol w:w="850"/>
        <w:gridCol w:w="709"/>
        <w:gridCol w:w="644"/>
        <w:gridCol w:w="632"/>
      </w:tblGrid>
      <w:tr w:rsidR="00C8127B" w:rsidTr="00E3776A">
        <w:trPr>
          <w:trHeight w:val="405"/>
        </w:trPr>
        <w:tc>
          <w:tcPr>
            <w:tcW w:w="8804" w:type="dxa"/>
            <w:gridSpan w:val="10"/>
            <w:tcBorders>
              <w:top w:val="nil"/>
              <w:left w:val="nil"/>
              <w:bottom w:val="nil"/>
              <w:right w:val="nil"/>
            </w:tcBorders>
            <w:vAlign w:val="center"/>
          </w:tcPr>
          <w:p w:rsidR="00C8127B" w:rsidRDefault="00C8127B" w:rsidP="00E3776A">
            <w:pPr>
              <w:widowControl/>
              <w:jc w:val="center"/>
              <w:rPr>
                <w:rFonts w:ascii="宋体" w:hAnsi="宋体" w:cs="宋体"/>
                <w:b/>
                <w:bCs/>
                <w:kern w:val="0"/>
                <w:sz w:val="32"/>
                <w:szCs w:val="32"/>
              </w:rPr>
            </w:pPr>
            <w:r>
              <w:rPr>
                <w:rFonts w:ascii="宋体" w:hAnsi="宋体" w:cs="宋体" w:hint="eastAsia"/>
                <w:b/>
                <w:bCs/>
                <w:kern w:val="0"/>
                <w:sz w:val="32"/>
                <w:szCs w:val="32"/>
              </w:rPr>
              <w:t>XXXX年政府采购预算表</w:t>
            </w:r>
          </w:p>
        </w:tc>
      </w:tr>
      <w:tr w:rsidR="00C8127B" w:rsidTr="00E3776A">
        <w:trPr>
          <w:trHeight w:val="300"/>
        </w:trPr>
        <w:tc>
          <w:tcPr>
            <w:tcW w:w="8804" w:type="dxa"/>
            <w:gridSpan w:val="10"/>
            <w:tcBorders>
              <w:top w:val="nil"/>
              <w:left w:val="nil"/>
              <w:bottom w:val="single" w:sz="4" w:space="0" w:color="auto"/>
              <w:right w:val="nil"/>
            </w:tcBorders>
            <w:vAlign w:val="center"/>
          </w:tcPr>
          <w:p w:rsidR="00C8127B" w:rsidRDefault="00C8127B" w:rsidP="00E3776A">
            <w:pPr>
              <w:widowControl/>
              <w:jc w:val="left"/>
              <w:rPr>
                <w:rFonts w:ascii="宋体" w:hAnsi="宋体" w:cs="宋体"/>
                <w:kern w:val="0"/>
              </w:rPr>
            </w:pPr>
            <w:r>
              <w:rPr>
                <w:rFonts w:ascii="宋体" w:hAnsi="宋体" w:cs="宋体" w:hint="eastAsia"/>
                <w:kern w:val="0"/>
              </w:rPr>
              <w:t>编报单位：</w:t>
            </w:r>
          </w:p>
        </w:tc>
      </w:tr>
      <w:tr w:rsidR="00C8127B" w:rsidTr="00E3776A">
        <w:trPr>
          <w:trHeight w:val="956"/>
        </w:trPr>
        <w:tc>
          <w:tcPr>
            <w:tcW w:w="1095"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采购类型</w:t>
            </w:r>
          </w:p>
        </w:tc>
        <w:tc>
          <w:tcPr>
            <w:tcW w:w="1047"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采购方式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采购品目</w:t>
            </w:r>
          </w:p>
        </w:tc>
        <w:tc>
          <w:tcPr>
            <w:tcW w:w="1134"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采购数量</w:t>
            </w:r>
          </w:p>
        </w:tc>
        <w:tc>
          <w:tcPr>
            <w:tcW w:w="992"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预算金额(万元)</w:t>
            </w:r>
          </w:p>
        </w:tc>
        <w:tc>
          <w:tcPr>
            <w:tcW w:w="850"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意向品牌</w:t>
            </w:r>
          </w:p>
        </w:tc>
        <w:tc>
          <w:tcPr>
            <w:tcW w:w="709"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资金来源</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备注</w:t>
            </w:r>
          </w:p>
        </w:tc>
      </w:tr>
      <w:tr w:rsidR="00C8127B" w:rsidTr="00E3776A">
        <w:trPr>
          <w:trHeight w:val="285"/>
        </w:trPr>
        <w:tc>
          <w:tcPr>
            <w:tcW w:w="10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货物类</w:t>
            </w: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协议供货</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台式计算机</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协议供货</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便携式</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协议供货</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计算机通用软件</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协议供货</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服务器</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协议供货</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网络设备</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7"/>
        </w:trPr>
        <w:tc>
          <w:tcPr>
            <w:tcW w:w="1095" w:type="dxa"/>
            <w:tcBorders>
              <w:top w:val="single" w:sz="4" w:space="0" w:color="auto"/>
              <w:left w:val="single" w:sz="4" w:space="0" w:color="auto"/>
              <w:bottom w:val="single" w:sz="4" w:space="0" w:color="auto"/>
              <w:right w:val="single" w:sz="4" w:space="0" w:color="auto"/>
            </w:tcBorders>
            <w:textDirection w:val="tbRlV"/>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服务类</w:t>
            </w: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定点采购</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汽车维修（次）</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京内单位</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定点采购</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汽车保险</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定点采购</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汽车加油（升）</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京内单位</w:t>
            </w:r>
          </w:p>
        </w:tc>
      </w:tr>
      <w:tr w:rsidR="00C8127B" w:rsidTr="00E3776A">
        <w:trPr>
          <w:trHeight w:val="67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定点采购</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规定的会议服务</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指单项和批量金额在2万元以上</w:t>
            </w:r>
          </w:p>
        </w:tc>
      </w:tr>
      <w:tr w:rsidR="00C8127B" w:rsidTr="00E3776A">
        <w:trPr>
          <w:trHeight w:val="675"/>
        </w:trPr>
        <w:tc>
          <w:tcPr>
            <w:tcW w:w="1095" w:type="dxa"/>
            <w:vMerge/>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定点采购</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规定的印刷项目</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指单项会议金额在2万元以上</w:t>
            </w:r>
          </w:p>
        </w:tc>
      </w:tr>
      <w:tr w:rsidR="00C8127B" w:rsidTr="00E3776A">
        <w:trPr>
          <w:trHeight w:val="284"/>
        </w:trPr>
        <w:tc>
          <w:tcPr>
            <w:tcW w:w="1095" w:type="dxa"/>
            <w:tcBorders>
              <w:top w:val="single" w:sz="4" w:space="0" w:color="auto"/>
              <w:left w:val="single" w:sz="4" w:space="0" w:color="auto"/>
              <w:bottom w:val="single" w:sz="4" w:space="0" w:color="auto"/>
              <w:right w:val="single" w:sz="4" w:space="0" w:color="auto"/>
            </w:tcBorders>
            <w:textDirection w:val="tbRlV"/>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47"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w:t>
            </w:r>
          </w:p>
        </w:tc>
        <w:tc>
          <w:tcPr>
            <w:tcW w:w="1701"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w:t>
            </w:r>
          </w:p>
        </w:tc>
        <w:tc>
          <w:tcPr>
            <w:tcW w:w="1134"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1125"/>
        </w:trPr>
        <w:tc>
          <w:tcPr>
            <w:tcW w:w="1095" w:type="dxa"/>
            <w:tcBorders>
              <w:top w:val="single" w:sz="4" w:space="0" w:color="auto"/>
              <w:left w:val="single" w:sz="4" w:space="0" w:color="auto"/>
              <w:bottom w:val="single" w:sz="4" w:space="0" w:color="auto"/>
              <w:right w:val="single" w:sz="4" w:space="0" w:color="auto"/>
            </w:tcBorders>
            <w:textDirection w:val="tbRlV"/>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工程类</w:t>
            </w:r>
          </w:p>
        </w:tc>
        <w:tc>
          <w:tcPr>
            <w:tcW w:w="1047"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统一组织的房屋（含宿舍）修缮、装修</w:t>
            </w:r>
          </w:p>
        </w:tc>
        <w:tc>
          <w:tcPr>
            <w:tcW w:w="1134"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300"/>
        </w:trPr>
        <w:tc>
          <w:tcPr>
            <w:tcW w:w="1095"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748" w:type="dxa"/>
            <w:gridSpan w:val="3"/>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合    计</w:t>
            </w:r>
          </w:p>
        </w:tc>
        <w:tc>
          <w:tcPr>
            <w:tcW w:w="1134"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C8127B" w:rsidTr="00E3776A">
        <w:trPr>
          <w:trHeight w:val="285"/>
        </w:trPr>
        <w:tc>
          <w:tcPr>
            <w:tcW w:w="1095"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1236" w:type="dxa"/>
            <w:gridSpan w:val="2"/>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1512"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1134" w:type="dxa"/>
            <w:tcBorders>
              <w:top w:val="single" w:sz="4" w:space="0" w:color="auto"/>
              <w:left w:val="nil"/>
              <w:bottom w:val="nil"/>
              <w:right w:val="nil"/>
            </w:tcBorders>
            <w:vAlign w:val="center"/>
          </w:tcPr>
          <w:p w:rsidR="00C8127B" w:rsidRDefault="00C8127B" w:rsidP="00E3776A">
            <w:pPr>
              <w:widowControl/>
              <w:jc w:val="center"/>
              <w:rPr>
                <w:rFonts w:ascii="宋体" w:hAnsi="宋体" w:cs="宋体"/>
                <w:kern w:val="0"/>
              </w:rPr>
            </w:pPr>
          </w:p>
        </w:tc>
        <w:tc>
          <w:tcPr>
            <w:tcW w:w="992" w:type="dxa"/>
            <w:tcBorders>
              <w:top w:val="single" w:sz="4" w:space="0" w:color="auto"/>
              <w:left w:val="nil"/>
              <w:bottom w:val="nil"/>
              <w:right w:val="nil"/>
            </w:tcBorders>
            <w:vAlign w:val="center"/>
          </w:tcPr>
          <w:p w:rsidR="00C8127B" w:rsidRDefault="00C8127B" w:rsidP="00E3776A">
            <w:pPr>
              <w:widowControl/>
              <w:jc w:val="center"/>
              <w:rPr>
                <w:rFonts w:ascii="宋体" w:hAnsi="宋体" w:cs="宋体"/>
                <w:kern w:val="0"/>
              </w:rPr>
            </w:pPr>
          </w:p>
        </w:tc>
        <w:tc>
          <w:tcPr>
            <w:tcW w:w="850"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709"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644"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c>
          <w:tcPr>
            <w:tcW w:w="632" w:type="dxa"/>
            <w:tcBorders>
              <w:top w:val="single" w:sz="4" w:space="0" w:color="auto"/>
              <w:left w:val="nil"/>
              <w:bottom w:val="nil"/>
              <w:right w:val="nil"/>
            </w:tcBorders>
            <w:vAlign w:val="center"/>
          </w:tcPr>
          <w:p w:rsidR="00C8127B" w:rsidRDefault="00C8127B" w:rsidP="00E3776A">
            <w:pPr>
              <w:widowControl/>
              <w:jc w:val="left"/>
              <w:rPr>
                <w:rFonts w:ascii="宋体" w:hAnsi="宋体" w:cs="宋体"/>
                <w:kern w:val="0"/>
              </w:rPr>
            </w:pPr>
          </w:p>
        </w:tc>
      </w:tr>
      <w:tr w:rsidR="00C8127B" w:rsidTr="00E3776A">
        <w:trPr>
          <w:trHeight w:val="285"/>
        </w:trPr>
        <w:tc>
          <w:tcPr>
            <w:tcW w:w="1095" w:type="dxa"/>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1236" w:type="dxa"/>
            <w:gridSpan w:val="2"/>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1512" w:type="dxa"/>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1134" w:type="dxa"/>
            <w:tcBorders>
              <w:top w:val="nil"/>
              <w:left w:val="nil"/>
              <w:bottom w:val="nil"/>
              <w:right w:val="nil"/>
            </w:tcBorders>
            <w:vAlign w:val="center"/>
          </w:tcPr>
          <w:p w:rsidR="00C8127B" w:rsidRDefault="00C8127B" w:rsidP="00E3776A">
            <w:pPr>
              <w:widowControl/>
              <w:jc w:val="center"/>
              <w:rPr>
                <w:rFonts w:ascii="宋体" w:hAnsi="宋体" w:cs="宋体"/>
                <w:kern w:val="0"/>
              </w:rPr>
            </w:pPr>
          </w:p>
        </w:tc>
        <w:tc>
          <w:tcPr>
            <w:tcW w:w="992" w:type="dxa"/>
            <w:tcBorders>
              <w:top w:val="nil"/>
              <w:left w:val="nil"/>
              <w:bottom w:val="nil"/>
              <w:right w:val="nil"/>
            </w:tcBorders>
            <w:vAlign w:val="center"/>
          </w:tcPr>
          <w:p w:rsidR="00C8127B" w:rsidRDefault="00C8127B" w:rsidP="00E3776A">
            <w:pPr>
              <w:widowControl/>
              <w:jc w:val="center"/>
              <w:rPr>
                <w:rFonts w:ascii="宋体" w:hAnsi="宋体" w:cs="宋体"/>
                <w:kern w:val="0"/>
              </w:rPr>
            </w:pPr>
          </w:p>
        </w:tc>
        <w:tc>
          <w:tcPr>
            <w:tcW w:w="1559" w:type="dxa"/>
            <w:gridSpan w:val="2"/>
            <w:tcBorders>
              <w:top w:val="nil"/>
              <w:left w:val="nil"/>
              <w:bottom w:val="nil"/>
              <w:right w:val="nil"/>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项目支持人（室主任）签字：</w:t>
            </w:r>
          </w:p>
        </w:tc>
        <w:tc>
          <w:tcPr>
            <w:tcW w:w="1276" w:type="dxa"/>
            <w:gridSpan w:val="2"/>
            <w:tcBorders>
              <w:top w:val="nil"/>
              <w:left w:val="nil"/>
              <w:bottom w:val="nil"/>
              <w:right w:val="nil"/>
            </w:tcBorders>
            <w:vAlign w:val="center"/>
          </w:tcPr>
          <w:p w:rsidR="00C8127B" w:rsidRDefault="00C8127B" w:rsidP="00E3776A">
            <w:pPr>
              <w:widowControl/>
              <w:jc w:val="left"/>
              <w:rPr>
                <w:rFonts w:ascii="宋体" w:hAnsi="宋体" w:cs="宋体"/>
                <w:kern w:val="0"/>
              </w:rPr>
            </w:pPr>
          </w:p>
        </w:tc>
      </w:tr>
    </w:tbl>
    <w:p w:rsidR="00C8127B" w:rsidRDefault="00C8127B" w:rsidP="00C8127B">
      <w:pPr>
        <w:spacing w:line="480" w:lineRule="exact"/>
        <w:ind w:firstLineChars="200" w:firstLine="482"/>
        <w:rPr>
          <w:rFonts w:ascii="宋体" w:hAnsi="宋体"/>
        </w:rPr>
      </w:pPr>
      <w:r>
        <w:rPr>
          <w:rFonts w:ascii="楷体_GB2312" w:eastAsia="楷体_GB2312" w:hAnsi="宋体" w:hint="eastAsia"/>
          <w:b/>
        </w:rPr>
        <w:t>第十一条</w:t>
      </w:r>
      <w:r>
        <w:rPr>
          <w:rFonts w:ascii="宋体" w:hAnsi="宋体" w:hint="eastAsia"/>
        </w:rPr>
        <w:t xml:space="preserve">  政府</w:t>
      </w:r>
      <w:r>
        <w:rPr>
          <w:rFonts w:ascii="宋体" w:hAnsi="宋体"/>
        </w:rPr>
        <w:t>采购计划是指</w:t>
      </w:r>
      <w:r>
        <w:rPr>
          <w:rFonts w:ascii="宋体" w:hAnsi="宋体" w:hint="eastAsia"/>
        </w:rPr>
        <w:t>信息所</w:t>
      </w:r>
      <w:r>
        <w:rPr>
          <w:rFonts w:ascii="宋体" w:hAnsi="宋体"/>
        </w:rPr>
        <w:t>依据</w:t>
      </w:r>
      <w:r>
        <w:rPr>
          <w:rFonts w:ascii="宋体" w:hAnsi="宋体" w:hint="eastAsia"/>
        </w:rPr>
        <w:t>批复的</w:t>
      </w:r>
      <w:r>
        <w:rPr>
          <w:rFonts w:ascii="宋体" w:hAnsi="宋体"/>
        </w:rPr>
        <w:t>政府采购预算，</w:t>
      </w:r>
      <w:r>
        <w:rPr>
          <w:rFonts w:ascii="宋体" w:hAnsi="宋体" w:hint="eastAsia"/>
        </w:rPr>
        <w:t>按季度编制</w:t>
      </w:r>
      <w:r>
        <w:rPr>
          <w:rFonts w:ascii="宋体" w:hAnsi="宋体"/>
        </w:rPr>
        <w:t>的反映</w:t>
      </w:r>
      <w:r>
        <w:rPr>
          <w:rFonts w:ascii="宋体" w:hAnsi="宋体" w:hint="eastAsia"/>
        </w:rPr>
        <w:t>各部门、处室实际</w:t>
      </w:r>
      <w:r>
        <w:rPr>
          <w:rFonts w:ascii="宋体" w:hAnsi="宋体"/>
        </w:rPr>
        <w:t>需求情况及</w:t>
      </w:r>
      <w:r>
        <w:rPr>
          <w:rFonts w:ascii="宋体" w:hAnsi="宋体" w:hint="eastAsia"/>
        </w:rPr>
        <w:t>的实施</w:t>
      </w:r>
      <w:r>
        <w:rPr>
          <w:rFonts w:ascii="宋体" w:hAnsi="宋体"/>
        </w:rPr>
        <w:t>计划。</w:t>
      </w:r>
      <w:r>
        <w:rPr>
          <w:rFonts w:ascii="宋体" w:hAnsi="宋体" w:hint="eastAsia"/>
        </w:rPr>
        <w:t>政府</w:t>
      </w:r>
      <w:r>
        <w:rPr>
          <w:rFonts w:ascii="宋体" w:hAnsi="宋体"/>
        </w:rPr>
        <w:t>采购计划是政府采购预算的具体</w:t>
      </w:r>
      <w:r>
        <w:rPr>
          <w:rFonts w:ascii="宋体" w:hAnsi="宋体" w:hint="eastAsia"/>
        </w:rPr>
        <w:t>细化</w:t>
      </w:r>
      <w:r>
        <w:rPr>
          <w:rFonts w:ascii="宋体" w:hAnsi="宋体"/>
        </w:rPr>
        <w:t>，也是年度政府采购执行和考核的依据。</w:t>
      </w:r>
      <w:r>
        <w:rPr>
          <w:rFonts w:ascii="宋体" w:hAnsi="宋体" w:hint="eastAsia"/>
        </w:rPr>
        <w:t>各处室将下一季度计划实行的政府采购项目，</w:t>
      </w:r>
      <w:proofErr w:type="gramStart"/>
      <w:r>
        <w:rPr>
          <w:rFonts w:ascii="宋体" w:hAnsi="宋体" w:hint="eastAsia"/>
        </w:rPr>
        <w:t>按照使</w:t>
      </w:r>
      <w:proofErr w:type="gramEnd"/>
      <w:r>
        <w:rPr>
          <w:rFonts w:ascii="宋体" w:hAnsi="宋体" w:hint="eastAsia"/>
        </w:rPr>
        <w:t>用处室、购买项目、采购数量、采购金额及出处、技术规格等内容编制，并在每季度</w:t>
      </w:r>
      <w:r>
        <w:t>5</w:t>
      </w:r>
      <w:r>
        <w:rPr>
          <w:rFonts w:ascii="宋体" w:hAnsi="宋体" w:hint="eastAsia"/>
        </w:rPr>
        <w:t>号之前上报至财务资产处。财务资产处应根据实际执行情况与计划进行审核，若与计划存在差异，则应根据实际情况对原计划进行调整。按照目前国家政府采购规定，没有政府采购计划不能执行政府采购。</w:t>
      </w:r>
    </w:p>
    <w:p w:rsidR="00C8127B" w:rsidRDefault="00C8127B" w:rsidP="00C8127B">
      <w:pPr>
        <w:spacing w:line="480" w:lineRule="exact"/>
        <w:ind w:firstLineChars="200" w:firstLine="480"/>
        <w:jc w:val="left"/>
      </w:pPr>
      <w:r>
        <w:rPr>
          <w:rFonts w:hint="eastAsia"/>
        </w:rPr>
        <w:t>政府采购实施计划表格式如下：</w:t>
      </w:r>
    </w:p>
    <w:tbl>
      <w:tblPr>
        <w:tblW w:w="0" w:type="auto"/>
        <w:tblInd w:w="93" w:type="dxa"/>
        <w:tblLayout w:type="fixed"/>
        <w:tblLook w:val="0000" w:firstRow="0" w:lastRow="0" w:firstColumn="0" w:lastColumn="0" w:noHBand="0" w:noVBand="0"/>
      </w:tblPr>
      <w:tblGrid>
        <w:gridCol w:w="1140"/>
        <w:gridCol w:w="1080"/>
        <w:gridCol w:w="580"/>
        <w:gridCol w:w="880"/>
        <w:gridCol w:w="920"/>
        <w:gridCol w:w="1120"/>
        <w:gridCol w:w="900"/>
        <w:gridCol w:w="1660"/>
        <w:gridCol w:w="820"/>
      </w:tblGrid>
      <w:tr w:rsidR="00C8127B" w:rsidTr="00E3776A">
        <w:trPr>
          <w:trHeight w:val="720"/>
        </w:trPr>
        <w:tc>
          <w:tcPr>
            <w:tcW w:w="9100" w:type="dxa"/>
            <w:gridSpan w:val="9"/>
            <w:tcBorders>
              <w:top w:val="nil"/>
              <w:left w:val="nil"/>
              <w:bottom w:val="nil"/>
              <w:right w:val="nil"/>
            </w:tcBorders>
            <w:vAlign w:val="center"/>
          </w:tcPr>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p>
          <w:p w:rsidR="00C8127B" w:rsidRDefault="00C8127B" w:rsidP="00E3776A">
            <w:pPr>
              <w:widowControl/>
              <w:jc w:val="center"/>
              <w:rPr>
                <w:rFonts w:ascii="宋体" w:hAnsi="宋体" w:cs="宋体"/>
                <w:b/>
                <w:bCs/>
                <w:kern w:val="0"/>
                <w:sz w:val="32"/>
                <w:szCs w:val="32"/>
              </w:rPr>
            </w:pPr>
            <w:r>
              <w:rPr>
                <w:rFonts w:ascii="宋体" w:hAnsi="宋体" w:cs="宋体" w:hint="eastAsia"/>
                <w:b/>
                <w:bCs/>
                <w:kern w:val="0"/>
                <w:sz w:val="32"/>
                <w:szCs w:val="32"/>
              </w:rPr>
              <w:t>20XX年第X季度政府采购计划表</w:t>
            </w:r>
          </w:p>
        </w:tc>
      </w:tr>
      <w:tr w:rsidR="00C8127B" w:rsidTr="00E3776A">
        <w:trPr>
          <w:trHeight w:val="525"/>
        </w:trPr>
        <w:tc>
          <w:tcPr>
            <w:tcW w:w="3680" w:type="dxa"/>
            <w:gridSpan w:val="4"/>
            <w:tcBorders>
              <w:top w:val="nil"/>
              <w:left w:val="nil"/>
              <w:bottom w:val="nil"/>
              <w:right w:val="nil"/>
            </w:tcBorders>
            <w:vAlign w:val="center"/>
          </w:tcPr>
          <w:p w:rsidR="00C8127B" w:rsidRDefault="00C8127B" w:rsidP="00E3776A">
            <w:pPr>
              <w:widowControl/>
              <w:jc w:val="left"/>
              <w:rPr>
                <w:rFonts w:ascii="宋体" w:hAnsi="宋体" w:cs="宋体"/>
                <w:kern w:val="0"/>
              </w:rPr>
            </w:pPr>
            <w:r>
              <w:rPr>
                <w:rFonts w:ascii="宋体" w:hAnsi="宋体" w:cs="宋体" w:hint="eastAsia"/>
                <w:kern w:val="0"/>
              </w:rPr>
              <w:lastRenderedPageBreak/>
              <w:t>填报处室：</w:t>
            </w:r>
          </w:p>
        </w:tc>
        <w:tc>
          <w:tcPr>
            <w:tcW w:w="920" w:type="dxa"/>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1120" w:type="dxa"/>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900" w:type="dxa"/>
            <w:tcBorders>
              <w:top w:val="nil"/>
              <w:left w:val="nil"/>
              <w:bottom w:val="nil"/>
              <w:right w:val="nil"/>
            </w:tcBorders>
            <w:vAlign w:val="center"/>
          </w:tcPr>
          <w:p w:rsidR="00C8127B" w:rsidRDefault="00C8127B" w:rsidP="00E3776A">
            <w:pPr>
              <w:widowControl/>
              <w:jc w:val="left"/>
              <w:rPr>
                <w:rFonts w:ascii="宋体" w:hAnsi="宋体" w:cs="宋体"/>
                <w:kern w:val="0"/>
              </w:rPr>
            </w:pPr>
          </w:p>
        </w:tc>
        <w:tc>
          <w:tcPr>
            <w:tcW w:w="1660" w:type="dxa"/>
            <w:tcBorders>
              <w:top w:val="nil"/>
              <w:left w:val="nil"/>
              <w:bottom w:val="nil"/>
              <w:right w:val="nil"/>
            </w:tcBorders>
            <w:vAlign w:val="center"/>
          </w:tcPr>
          <w:p w:rsidR="00C8127B" w:rsidRDefault="00C8127B" w:rsidP="00E3776A">
            <w:pPr>
              <w:widowControl/>
              <w:jc w:val="right"/>
              <w:rPr>
                <w:rFonts w:ascii="宋体" w:hAnsi="宋体" w:cs="宋体"/>
                <w:kern w:val="0"/>
              </w:rPr>
            </w:pPr>
            <w:r>
              <w:rPr>
                <w:rFonts w:ascii="宋体" w:hAnsi="宋体" w:cs="宋体" w:hint="eastAsia"/>
                <w:kern w:val="0"/>
              </w:rPr>
              <w:t>单位：元</w:t>
            </w:r>
          </w:p>
        </w:tc>
        <w:tc>
          <w:tcPr>
            <w:tcW w:w="820" w:type="dxa"/>
            <w:tcBorders>
              <w:top w:val="nil"/>
              <w:left w:val="nil"/>
              <w:bottom w:val="nil"/>
              <w:right w:val="nil"/>
            </w:tcBorders>
            <w:vAlign w:val="center"/>
          </w:tcPr>
          <w:p w:rsidR="00C8127B" w:rsidRDefault="00C8127B" w:rsidP="00E3776A">
            <w:pPr>
              <w:widowControl/>
              <w:jc w:val="right"/>
              <w:rPr>
                <w:rFonts w:ascii="宋体" w:hAnsi="宋体" w:cs="宋体"/>
                <w:kern w:val="0"/>
              </w:rPr>
            </w:pPr>
          </w:p>
        </w:tc>
      </w:tr>
      <w:tr w:rsidR="00C8127B" w:rsidTr="00E3776A">
        <w:trPr>
          <w:trHeight w:val="285"/>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行/列</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采购品目</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计量单位</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计划采购数量</w:t>
            </w:r>
          </w:p>
        </w:tc>
        <w:tc>
          <w:tcPr>
            <w:tcW w:w="4600" w:type="dxa"/>
            <w:gridSpan w:val="4"/>
            <w:tcBorders>
              <w:top w:val="single" w:sz="4" w:space="0" w:color="auto"/>
              <w:left w:val="nil"/>
              <w:bottom w:val="single" w:sz="4" w:space="0" w:color="auto"/>
              <w:right w:val="single" w:sz="4" w:space="0" w:color="000000"/>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计划采购金额</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备注</w:t>
            </w:r>
          </w:p>
        </w:tc>
      </w:tr>
      <w:tr w:rsidR="00C8127B" w:rsidTr="00E3776A">
        <w:trPr>
          <w:trHeight w:val="525"/>
        </w:trPr>
        <w:tc>
          <w:tcPr>
            <w:tcW w:w="1140" w:type="dxa"/>
            <w:vMerge/>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left"/>
              <w:rPr>
                <w:rFonts w:ascii="宋体" w:hAnsi="宋体" w:cs="宋体"/>
                <w:bCs/>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left"/>
              <w:rPr>
                <w:rFonts w:ascii="宋体" w:hAnsi="宋体" w:cs="宋体"/>
                <w:bCs/>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left"/>
              <w:rPr>
                <w:rFonts w:ascii="宋体" w:hAnsi="宋体" w:cs="宋体"/>
                <w:bCs/>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left"/>
              <w:rPr>
                <w:rFonts w:ascii="宋体" w:hAnsi="宋体" w:cs="宋体"/>
                <w:bCs/>
                <w:kern w:val="0"/>
                <w:sz w:val="20"/>
                <w:szCs w:val="20"/>
              </w:rPr>
            </w:pP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小计</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财政性资金</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基本户（自有资金）</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支出课题名称</w:t>
            </w:r>
          </w:p>
        </w:tc>
        <w:tc>
          <w:tcPr>
            <w:tcW w:w="820" w:type="dxa"/>
            <w:vMerge/>
            <w:tcBorders>
              <w:top w:val="single" w:sz="4" w:space="0" w:color="auto"/>
              <w:left w:val="single" w:sz="4" w:space="0" w:color="auto"/>
              <w:bottom w:val="single" w:sz="4" w:space="0" w:color="auto"/>
              <w:right w:val="single" w:sz="4" w:space="0" w:color="auto"/>
            </w:tcBorders>
            <w:vAlign w:val="center"/>
          </w:tcPr>
          <w:p w:rsidR="00C8127B" w:rsidRPr="005B6900" w:rsidRDefault="00C8127B" w:rsidP="00E3776A">
            <w:pPr>
              <w:widowControl/>
              <w:jc w:val="left"/>
              <w:rPr>
                <w:rFonts w:ascii="宋体" w:hAnsi="宋体" w:cs="宋体"/>
                <w:bCs/>
                <w:kern w:val="0"/>
                <w:sz w:val="20"/>
                <w:szCs w:val="20"/>
              </w:rPr>
            </w:pPr>
          </w:p>
        </w:tc>
      </w:tr>
      <w:tr w:rsidR="00C8127B" w:rsidTr="00E3776A">
        <w:trPr>
          <w:trHeight w:val="402"/>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总计</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95"/>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货物类合计</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kern w:val="0"/>
                <w:sz w:val="20"/>
                <w:szCs w:val="20"/>
              </w:rPr>
            </w:pPr>
            <w:r w:rsidRPr="005B6900">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02"/>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kern w:val="0"/>
                <w:sz w:val="20"/>
                <w:szCs w:val="20"/>
              </w:rPr>
            </w:pPr>
            <w:r w:rsidRPr="005B6900">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02"/>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02"/>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服务类合计</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bCs/>
                <w:kern w:val="0"/>
                <w:sz w:val="20"/>
                <w:szCs w:val="20"/>
              </w:rPr>
            </w:pPr>
            <w:r w:rsidRPr="005B6900">
              <w:rPr>
                <w:rFonts w:ascii="宋体" w:hAnsi="宋体" w:cs="宋体" w:hint="eastAsia"/>
                <w:bCs/>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rPr>
            </w:pPr>
            <w:r w:rsidRPr="005B6900">
              <w:rPr>
                <w:rFonts w:ascii="宋体" w:hAnsi="宋体" w:cs="宋体" w:hint="eastAsia"/>
                <w:kern w:val="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02"/>
        </w:trPr>
        <w:tc>
          <w:tcPr>
            <w:tcW w:w="1140" w:type="dxa"/>
            <w:tcBorders>
              <w:top w:val="nil"/>
              <w:left w:val="single" w:sz="4" w:space="0" w:color="auto"/>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900" w:type="dxa"/>
            <w:tcBorders>
              <w:top w:val="nil"/>
              <w:left w:val="nil"/>
              <w:bottom w:val="single" w:sz="4" w:space="0" w:color="auto"/>
              <w:right w:val="single" w:sz="4" w:space="0" w:color="auto"/>
            </w:tcBorders>
            <w:vAlign w:val="center"/>
          </w:tcPr>
          <w:p w:rsidR="00C8127B" w:rsidRPr="005B6900" w:rsidRDefault="00C8127B" w:rsidP="00E3776A">
            <w:pPr>
              <w:widowControl/>
              <w:jc w:val="center"/>
              <w:rPr>
                <w:rFonts w:ascii="宋体" w:hAnsi="宋体" w:cs="宋体"/>
                <w:kern w:val="0"/>
                <w:sz w:val="20"/>
                <w:szCs w:val="20"/>
              </w:rPr>
            </w:pPr>
            <w:r w:rsidRPr="005B6900">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vAlign w:val="center"/>
          </w:tcPr>
          <w:p w:rsidR="00C8127B" w:rsidRPr="005B6900" w:rsidRDefault="00C8127B" w:rsidP="00E3776A">
            <w:pPr>
              <w:widowControl/>
              <w:jc w:val="right"/>
              <w:rPr>
                <w:rFonts w:ascii="宋体" w:hAnsi="宋体" w:cs="宋体"/>
                <w:kern w:val="0"/>
                <w:sz w:val="20"/>
                <w:szCs w:val="20"/>
              </w:rPr>
            </w:pPr>
            <w:r w:rsidRPr="005B6900">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vAlign w:val="center"/>
          </w:tcPr>
          <w:p w:rsidR="00C8127B" w:rsidRPr="005B6900" w:rsidRDefault="00C8127B" w:rsidP="00E3776A">
            <w:pPr>
              <w:widowControl/>
              <w:jc w:val="left"/>
              <w:rPr>
                <w:rFonts w:ascii="宋体" w:hAnsi="宋体" w:cs="宋体"/>
                <w:kern w:val="0"/>
                <w:sz w:val="20"/>
                <w:szCs w:val="20"/>
              </w:rPr>
            </w:pPr>
            <w:r w:rsidRPr="005B6900">
              <w:rPr>
                <w:rFonts w:ascii="宋体" w:hAnsi="宋体" w:cs="宋体" w:hint="eastAsia"/>
                <w:kern w:val="0"/>
                <w:sz w:val="20"/>
                <w:szCs w:val="20"/>
              </w:rPr>
              <w:t xml:space="preserve">　</w:t>
            </w:r>
          </w:p>
        </w:tc>
      </w:tr>
      <w:tr w:rsidR="00C8127B" w:rsidTr="00E3776A">
        <w:trPr>
          <w:trHeight w:val="405"/>
        </w:trPr>
        <w:tc>
          <w:tcPr>
            <w:tcW w:w="1140" w:type="dxa"/>
            <w:tcBorders>
              <w:top w:val="nil"/>
              <w:left w:val="single" w:sz="4" w:space="0" w:color="auto"/>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C8127B" w:rsidRDefault="00C8127B" w:rsidP="00E3776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rPr>
            </w:pPr>
            <w:r>
              <w:rPr>
                <w:rFonts w:ascii="宋体" w:hAnsi="宋体" w:cs="宋体" w:hint="eastAsia"/>
                <w:kern w:val="0"/>
              </w:rPr>
              <w:t xml:space="preserve">　</w:t>
            </w:r>
          </w:p>
        </w:tc>
        <w:tc>
          <w:tcPr>
            <w:tcW w:w="112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rPr>
            </w:pPr>
            <w:r>
              <w:rPr>
                <w:rFonts w:ascii="宋体" w:hAnsi="宋体" w:cs="宋体" w:hint="eastAsia"/>
                <w:kern w:val="0"/>
              </w:rPr>
              <w:t xml:space="preserve">　</w:t>
            </w:r>
          </w:p>
        </w:tc>
        <w:tc>
          <w:tcPr>
            <w:tcW w:w="90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rPr>
            </w:pPr>
            <w:r>
              <w:rPr>
                <w:rFonts w:ascii="宋体" w:hAnsi="宋体" w:cs="宋体" w:hint="eastAsia"/>
                <w:kern w:val="0"/>
              </w:rPr>
              <w:t xml:space="preserve">　</w:t>
            </w:r>
          </w:p>
        </w:tc>
        <w:tc>
          <w:tcPr>
            <w:tcW w:w="166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rPr>
            </w:pPr>
            <w:r>
              <w:rPr>
                <w:rFonts w:ascii="宋体" w:hAnsi="宋体" w:cs="宋体" w:hint="eastAsia"/>
                <w:kern w:val="0"/>
              </w:rPr>
              <w:t xml:space="preserve">　</w:t>
            </w:r>
          </w:p>
        </w:tc>
        <w:tc>
          <w:tcPr>
            <w:tcW w:w="820" w:type="dxa"/>
            <w:tcBorders>
              <w:top w:val="nil"/>
              <w:left w:val="nil"/>
              <w:bottom w:val="single" w:sz="4" w:space="0" w:color="auto"/>
              <w:right w:val="single" w:sz="4" w:space="0" w:color="auto"/>
            </w:tcBorders>
            <w:vAlign w:val="center"/>
          </w:tcPr>
          <w:p w:rsidR="00C8127B" w:rsidRDefault="00C8127B" w:rsidP="00E3776A">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C8127B" w:rsidRDefault="00C8127B" w:rsidP="00C8127B">
      <w:pPr>
        <w:spacing w:line="480" w:lineRule="exact"/>
        <w:ind w:firstLineChars="200" w:firstLine="480"/>
        <w:jc w:val="left"/>
      </w:pPr>
    </w:p>
    <w:p w:rsidR="00C8127B" w:rsidRDefault="00C8127B" w:rsidP="00C8127B">
      <w:pPr>
        <w:spacing w:line="480" w:lineRule="exact"/>
        <w:ind w:firstLineChars="200" w:firstLine="482"/>
        <w:rPr>
          <w:rFonts w:ascii="宋体" w:hAnsi="宋体"/>
        </w:rPr>
      </w:pPr>
      <w:r>
        <w:rPr>
          <w:rFonts w:ascii="楷体_GB2312" w:eastAsia="楷体_GB2312" w:hAnsi="宋体" w:hint="eastAsia"/>
          <w:b/>
        </w:rPr>
        <w:t>第十二条</w:t>
      </w:r>
      <w:r>
        <w:rPr>
          <w:rFonts w:ascii="宋体" w:hAnsi="宋体" w:hint="eastAsia"/>
        </w:rPr>
        <w:t xml:space="preserve">  </w:t>
      </w:r>
      <w:r w:rsidRPr="00A662DB">
        <w:rPr>
          <w:rFonts w:ascii="宋体" w:hAnsi="宋体" w:hint="eastAsia"/>
        </w:rPr>
        <w:t>台式计算机、打印机和便携式计算机的采购计划按月填报</w:t>
      </w:r>
      <w:r>
        <w:rPr>
          <w:rFonts w:ascii="ΟGB2312" w:eastAsia="ΟGB2312" w:hint="eastAsia"/>
          <w:color w:val="222222"/>
          <w:sz w:val="19"/>
          <w:szCs w:val="19"/>
        </w:rPr>
        <w:t>，</w:t>
      </w:r>
      <w:r>
        <w:rPr>
          <w:rFonts w:ascii="宋体" w:hAnsi="宋体" w:hint="eastAsia"/>
        </w:rPr>
        <w:t>每月</w:t>
      </w:r>
      <w:r>
        <w:rPr>
          <w:rFonts w:ascii="宋体" w:hAnsi="宋体"/>
        </w:rPr>
        <w:t>1</w:t>
      </w:r>
      <w:r>
        <w:rPr>
          <w:rFonts w:ascii="宋体" w:hAnsi="宋体" w:hint="eastAsia"/>
        </w:rPr>
        <w:t>日前</w:t>
      </w:r>
      <w:r w:rsidRPr="00A662DB">
        <w:rPr>
          <w:rFonts w:ascii="宋体" w:hAnsi="宋体" w:hint="eastAsia"/>
        </w:rPr>
        <w:t>填报下月计划；复印机、传真机、扫描仪、复印纸、空调机和碎纸机的采购计划按季填报</w:t>
      </w:r>
      <w:r>
        <w:rPr>
          <w:rFonts w:ascii="宋体" w:hAnsi="宋体" w:hint="eastAsia"/>
        </w:rPr>
        <w:t>分别于12月1日、3月1日、6月1日、9月1日前，填报一季度、二季度、三季度、四季度</w:t>
      </w:r>
      <w:r w:rsidRPr="00A662DB">
        <w:rPr>
          <w:rFonts w:hint="eastAsia"/>
        </w:rPr>
        <w:t>采购计划</w:t>
      </w:r>
      <w:r>
        <w:rPr>
          <w:rFonts w:ascii="宋体" w:hAnsi="宋体" w:hint="eastAsia"/>
        </w:rPr>
        <w:t>，由财务资产处汇总后进行网络上报。对集中批量采购产品，应按财政部颁布的“批量采购配置表</w:t>
      </w:r>
      <w:r>
        <w:rPr>
          <w:rFonts w:ascii="宋体" w:hAnsi="宋体"/>
        </w:rPr>
        <w:t>”</w:t>
      </w:r>
      <w:r>
        <w:rPr>
          <w:rFonts w:ascii="宋体" w:hAnsi="宋体" w:hint="eastAsia"/>
        </w:rPr>
        <w:t>进行配置选择，个别情况下对配置有特殊要求的，应上报经院财务局资产处同意后，从协议供货渠道购买。</w:t>
      </w:r>
    </w:p>
    <w:p w:rsidR="00C8127B" w:rsidRDefault="00C8127B" w:rsidP="00C8127B">
      <w:pPr>
        <w:spacing w:line="480" w:lineRule="exact"/>
        <w:ind w:firstLineChars="200" w:firstLine="482"/>
        <w:rPr>
          <w:rFonts w:ascii="宋体" w:hAnsi="宋体"/>
        </w:rPr>
      </w:pPr>
      <w:r>
        <w:rPr>
          <w:rFonts w:ascii="楷体_GB2312" w:eastAsia="楷体_GB2312" w:hAnsi="宋体" w:hint="eastAsia"/>
          <w:b/>
        </w:rPr>
        <w:t>第十三条</w:t>
      </w:r>
      <w:r>
        <w:rPr>
          <w:rFonts w:ascii="宋体" w:hAnsi="宋体" w:hint="eastAsia"/>
        </w:rPr>
        <w:t xml:space="preserve">  会议的召开实行定点。</w:t>
      </w:r>
      <w:r>
        <w:rPr>
          <w:rFonts w:ascii="宋体" w:hAnsi="宋体" w:cs="Arial" w:hint="eastAsia"/>
        </w:rPr>
        <w:t>一</w:t>
      </w:r>
      <w:r>
        <w:rPr>
          <w:rFonts w:ascii="宋体" w:hAnsi="宋体" w:cs="Arial"/>
        </w:rPr>
        <w:t>是可以在单位内部会议室召开的会议，应优先使用单位内部的会议室</w:t>
      </w:r>
      <w:r>
        <w:rPr>
          <w:rFonts w:ascii="宋体" w:hAnsi="宋体" w:cs="Arial" w:hint="eastAsia"/>
        </w:rPr>
        <w:t>；二是使用农业部内部定点宾馆，目前</w:t>
      </w:r>
      <w:proofErr w:type="gramStart"/>
      <w:r>
        <w:rPr>
          <w:rFonts w:ascii="宋体" w:hAnsi="宋体" w:cs="Arial" w:hint="eastAsia"/>
        </w:rPr>
        <w:t>我院</w:t>
      </w:r>
      <w:r>
        <w:rPr>
          <w:rFonts w:ascii="宋体" w:hAnsi="宋体" w:cs="Arial"/>
        </w:rPr>
        <w:t>粤公府</w:t>
      </w:r>
      <w:proofErr w:type="gramEnd"/>
      <w:r>
        <w:rPr>
          <w:rFonts w:ascii="宋体" w:hAnsi="宋体" w:cs="Arial"/>
        </w:rPr>
        <w:t>、中农</w:t>
      </w:r>
      <w:proofErr w:type="gramStart"/>
      <w:r>
        <w:rPr>
          <w:rFonts w:ascii="宋体" w:hAnsi="宋体" w:cs="Arial"/>
        </w:rPr>
        <w:t>研</w:t>
      </w:r>
      <w:proofErr w:type="gramEnd"/>
      <w:r>
        <w:rPr>
          <w:rFonts w:ascii="宋体" w:hAnsi="宋体" w:cs="Arial"/>
        </w:rPr>
        <w:t>以及中蔬</w:t>
      </w:r>
      <w:proofErr w:type="gramStart"/>
      <w:r>
        <w:rPr>
          <w:rFonts w:ascii="宋体" w:hAnsi="宋体" w:cs="Arial"/>
        </w:rPr>
        <w:t>卉</w:t>
      </w:r>
      <w:proofErr w:type="gramEnd"/>
      <w:r>
        <w:rPr>
          <w:rFonts w:ascii="宋体" w:hAnsi="宋体" w:cs="Arial"/>
        </w:rPr>
        <w:t>园宾馆均属于农业部内部定点宾馆</w:t>
      </w:r>
      <w:r>
        <w:rPr>
          <w:rFonts w:ascii="宋体" w:hAnsi="宋体" w:cs="Arial" w:hint="eastAsia"/>
        </w:rPr>
        <w:t>；三是使用外部定点宾馆，结算时需提供电子结算单。</w:t>
      </w:r>
    </w:p>
    <w:p w:rsidR="00C8127B" w:rsidRDefault="00C8127B" w:rsidP="00C8127B">
      <w:pPr>
        <w:spacing w:line="480" w:lineRule="exact"/>
        <w:ind w:firstLineChars="200" w:firstLine="482"/>
      </w:pPr>
      <w:r>
        <w:rPr>
          <w:rFonts w:eastAsia="楷体_GB2312"/>
          <w:b/>
        </w:rPr>
        <w:t>第</w:t>
      </w:r>
      <w:r>
        <w:rPr>
          <w:rFonts w:eastAsia="楷体_GB2312" w:hint="eastAsia"/>
          <w:b/>
        </w:rPr>
        <w:t>十四</w:t>
      </w:r>
      <w:r>
        <w:rPr>
          <w:rFonts w:eastAsia="楷体_GB2312"/>
          <w:b/>
        </w:rPr>
        <w:t>条</w:t>
      </w:r>
      <w:r>
        <w:rPr>
          <w:rFonts w:hint="eastAsia"/>
        </w:rPr>
        <w:t xml:space="preserve">  </w:t>
      </w:r>
      <w:r>
        <w:rPr>
          <w:rFonts w:hint="eastAsia"/>
        </w:rPr>
        <w:t>对属于政府采购范围的，信息所各处、室、部、中心要严格按照上级有关通知和规定精神办理，严格采购手续和采购程序。</w:t>
      </w:r>
    </w:p>
    <w:p w:rsidR="00C8127B" w:rsidRDefault="00C8127B" w:rsidP="00C8127B">
      <w:pPr>
        <w:spacing w:line="480" w:lineRule="exact"/>
        <w:ind w:firstLineChars="200" w:firstLine="482"/>
      </w:pPr>
      <w:r>
        <w:rPr>
          <w:rFonts w:eastAsia="楷体_GB2312"/>
          <w:b/>
        </w:rPr>
        <w:t>第</w:t>
      </w:r>
      <w:r>
        <w:rPr>
          <w:rFonts w:eastAsia="楷体_GB2312" w:hint="eastAsia"/>
          <w:b/>
        </w:rPr>
        <w:t>十五</w:t>
      </w:r>
      <w:r>
        <w:rPr>
          <w:rFonts w:eastAsia="楷体_GB2312"/>
          <w:b/>
        </w:rPr>
        <w:t>条</w:t>
      </w:r>
      <w:r>
        <w:rPr>
          <w:rFonts w:hint="eastAsia"/>
        </w:rPr>
        <w:t xml:space="preserve">  </w:t>
      </w:r>
      <w:r>
        <w:rPr>
          <w:rFonts w:hint="eastAsia"/>
        </w:rPr>
        <w:t>利用信息</w:t>
      </w:r>
      <w:proofErr w:type="gramStart"/>
      <w:r>
        <w:rPr>
          <w:rFonts w:hint="eastAsia"/>
        </w:rPr>
        <w:t>所资金</w:t>
      </w:r>
      <w:proofErr w:type="gramEnd"/>
      <w:r>
        <w:rPr>
          <w:rFonts w:hint="eastAsia"/>
        </w:rPr>
        <w:t>购置有关设备的，要经所主管领导批准并在信息所办公室办理有关手续。</w:t>
      </w:r>
    </w:p>
    <w:p w:rsidR="00C8127B" w:rsidRDefault="00C8127B" w:rsidP="00C8127B">
      <w:pPr>
        <w:spacing w:line="480" w:lineRule="exact"/>
        <w:ind w:firstLineChars="200" w:firstLine="482"/>
      </w:pPr>
      <w:r>
        <w:rPr>
          <w:rFonts w:eastAsia="楷体_GB2312"/>
          <w:b/>
        </w:rPr>
        <w:t>第</w:t>
      </w:r>
      <w:r>
        <w:rPr>
          <w:rFonts w:eastAsia="楷体_GB2312" w:hint="eastAsia"/>
          <w:b/>
        </w:rPr>
        <w:t>十六</w:t>
      </w:r>
      <w:r>
        <w:rPr>
          <w:rFonts w:eastAsia="楷体_GB2312"/>
          <w:b/>
        </w:rPr>
        <w:t>条</w:t>
      </w:r>
      <w:r>
        <w:t xml:space="preserve">  </w:t>
      </w:r>
      <w:r>
        <w:rPr>
          <w:rFonts w:hint="eastAsia"/>
        </w:rPr>
        <w:t>利用课题经费和开发收入购置政府采购范围的固定资产，须经处室主任、信息所办公室主任和所领导批准并在财务资产处备案。</w:t>
      </w:r>
    </w:p>
    <w:p w:rsidR="00C8127B" w:rsidRDefault="00C8127B" w:rsidP="00C8127B">
      <w:pPr>
        <w:spacing w:line="480" w:lineRule="exact"/>
        <w:ind w:firstLineChars="200" w:firstLine="482"/>
      </w:pPr>
      <w:r>
        <w:rPr>
          <w:rFonts w:eastAsia="楷体_GB2312"/>
          <w:b/>
        </w:rPr>
        <w:lastRenderedPageBreak/>
        <w:t>第</w:t>
      </w:r>
      <w:r>
        <w:rPr>
          <w:rFonts w:eastAsia="楷体_GB2312" w:hint="eastAsia"/>
          <w:b/>
        </w:rPr>
        <w:t>十七</w:t>
      </w:r>
      <w:r>
        <w:rPr>
          <w:rFonts w:eastAsia="楷体_GB2312"/>
          <w:b/>
        </w:rPr>
        <w:t>条</w:t>
      </w:r>
      <w:r>
        <w:rPr>
          <w:rFonts w:eastAsia="楷体_GB2312" w:hint="eastAsia"/>
          <w:b/>
        </w:rPr>
        <w:t xml:space="preserve">  </w:t>
      </w:r>
      <w:r>
        <w:rPr>
          <w:rFonts w:hint="eastAsia"/>
        </w:rPr>
        <w:t>具体执行政府采购的流程</w:t>
      </w:r>
    </w:p>
    <w:p w:rsidR="00C8127B" w:rsidRDefault="00C8127B" w:rsidP="00C8127B">
      <w:pPr>
        <w:numPr>
          <w:ilvl w:val="0"/>
          <w:numId w:val="1"/>
        </w:numPr>
        <w:adjustRightInd w:val="0"/>
        <w:spacing w:line="480" w:lineRule="exact"/>
        <w:ind w:left="0" w:firstLineChars="200" w:firstLine="480"/>
        <w:rPr>
          <w:rFonts w:ascii="宋体" w:hAnsi="宋体"/>
        </w:rPr>
      </w:pPr>
      <w:r>
        <w:rPr>
          <w:rFonts w:ascii="宋体" w:hAnsi="宋体" w:hint="eastAsia"/>
        </w:rPr>
        <w:t>经办人要到“中央政府采购网</w:t>
      </w:r>
      <w:r>
        <w:t>www.zycg.gov.cn</w:t>
      </w:r>
      <w:r>
        <w:rPr>
          <w:rFonts w:ascii="宋体" w:hAnsi="宋体" w:hint="eastAsia"/>
        </w:rPr>
        <w:t>” 查阅中标政府采购商家及产品信息；</w:t>
      </w:r>
    </w:p>
    <w:p w:rsidR="00C8127B" w:rsidRDefault="00C8127B" w:rsidP="00C8127B">
      <w:pPr>
        <w:numPr>
          <w:ilvl w:val="0"/>
          <w:numId w:val="1"/>
        </w:numPr>
        <w:adjustRightInd w:val="0"/>
        <w:spacing w:line="480" w:lineRule="exact"/>
        <w:ind w:left="0" w:firstLineChars="200" w:firstLine="480"/>
        <w:rPr>
          <w:rFonts w:ascii="宋体" w:hAnsi="宋体"/>
        </w:rPr>
      </w:pPr>
      <w:r>
        <w:rPr>
          <w:rFonts w:ascii="宋体" w:hAnsi="宋体" w:hint="eastAsia"/>
        </w:rPr>
        <w:t>填制政府采购审核单（可在信息所主页进行下载），并经财务资产处审核政府采购预算、计划。如果无预算和计划，应按第七条、第八条的规定进行处理；</w:t>
      </w:r>
    </w:p>
    <w:p w:rsidR="00C8127B" w:rsidRDefault="00C8127B" w:rsidP="00C8127B">
      <w:pPr>
        <w:tabs>
          <w:tab w:val="left" w:pos="1830"/>
        </w:tabs>
        <w:adjustRightInd w:val="0"/>
        <w:spacing w:line="480" w:lineRule="exact"/>
        <w:ind w:firstLineChars="200" w:firstLine="480"/>
        <w:rPr>
          <w:rFonts w:ascii="宋体" w:hAnsi="宋体"/>
        </w:rPr>
      </w:pPr>
      <w:r>
        <w:t>3</w:t>
      </w:r>
      <w:r>
        <w:rPr>
          <w:rFonts w:hAnsi="宋体"/>
        </w:rPr>
        <w:t>．</w:t>
      </w:r>
      <w:r>
        <w:rPr>
          <w:rFonts w:ascii="宋体" w:hAnsi="宋体" w:hint="eastAsia"/>
        </w:rPr>
        <w:t>经办人与商家联系，签订“中央单位政府采购协议合同”；</w:t>
      </w:r>
    </w:p>
    <w:p w:rsidR="00C8127B" w:rsidRDefault="00C8127B" w:rsidP="00C8127B">
      <w:pPr>
        <w:tabs>
          <w:tab w:val="left" w:pos="1830"/>
        </w:tabs>
        <w:adjustRightInd w:val="0"/>
        <w:spacing w:line="480" w:lineRule="exact"/>
        <w:ind w:firstLineChars="200" w:firstLine="480"/>
        <w:rPr>
          <w:rFonts w:ascii="宋体" w:hAnsi="宋体"/>
        </w:rPr>
      </w:pPr>
      <w:r>
        <w:t>4</w:t>
      </w:r>
      <w:r>
        <w:rPr>
          <w:rFonts w:hAnsi="宋体"/>
        </w:rPr>
        <w:t>．</w:t>
      </w:r>
      <w:r>
        <w:rPr>
          <w:rFonts w:ascii="宋体" w:hAnsi="宋体" w:hint="eastAsia"/>
        </w:rPr>
        <w:t>商家送货，购买处室负责验货，并到网上核验采购合同及验收单的真伪性；</w:t>
      </w:r>
    </w:p>
    <w:p w:rsidR="00C8127B" w:rsidRDefault="00C8127B" w:rsidP="00C8127B">
      <w:pPr>
        <w:tabs>
          <w:tab w:val="left" w:pos="1830"/>
        </w:tabs>
        <w:adjustRightInd w:val="0"/>
        <w:spacing w:line="480" w:lineRule="exact"/>
        <w:ind w:firstLineChars="200" w:firstLine="480"/>
        <w:rPr>
          <w:rFonts w:ascii="宋体" w:hAnsi="宋体"/>
        </w:rPr>
      </w:pPr>
      <w:r>
        <w:t>5</w:t>
      </w:r>
      <w:r>
        <w:rPr>
          <w:rFonts w:hAnsi="宋体"/>
        </w:rPr>
        <w:t>．</w:t>
      </w:r>
      <w:r>
        <w:rPr>
          <w:rFonts w:ascii="宋体" w:hAnsi="宋体" w:hint="eastAsia"/>
        </w:rPr>
        <w:t>经办人带政府采购审核单来财务资产处办理付款手续。</w:t>
      </w:r>
    </w:p>
    <w:p w:rsidR="00C8127B" w:rsidRDefault="00C8127B" w:rsidP="00C8127B">
      <w:pPr>
        <w:spacing w:line="480" w:lineRule="exact"/>
        <w:ind w:firstLineChars="200" w:firstLine="482"/>
      </w:pPr>
      <w:r>
        <w:rPr>
          <w:rFonts w:eastAsia="楷体_GB2312"/>
          <w:b/>
        </w:rPr>
        <w:t>第</w:t>
      </w:r>
      <w:r>
        <w:rPr>
          <w:rFonts w:eastAsia="楷体_GB2312" w:hint="eastAsia"/>
          <w:b/>
        </w:rPr>
        <w:t>十八</w:t>
      </w:r>
      <w:r>
        <w:rPr>
          <w:rFonts w:eastAsia="楷体_GB2312"/>
          <w:b/>
        </w:rPr>
        <w:t>条</w:t>
      </w:r>
      <w:r>
        <w:rPr>
          <w:rFonts w:eastAsia="楷体_GB2312" w:hint="eastAsia"/>
          <w:b/>
        </w:rPr>
        <w:t xml:space="preserve">  </w:t>
      </w:r>
      <w:r>
        <w:rPr>
          <w:rFonts w:hint="eastAsia"/>
        </w:rPr>
        <w:t>凡通过政府采购购置固定资产时，按固定资产管理办法执行。</w:t>
      </w:r>
    </w:p>
    <w:p w:rsidR="00C8127B" w:rsidRDefault="00C8127B" w:rsidP="00C8127B">
      <w:pPr>
        <w:spacing w:line="480" w:lineRule="exact"/>
        <w:ind w:firstLineChars="200" w:firstLine="482"/>
      </w:pPr>
      <w:r>
        <w:rPr>
          <w:rFonts w:eastAsia="楷体_GB2312"/>
          <w:b/>
        </w:rPr>
        <w:t>第</w:t>
      </w:r>
      <w:r>
        <w:rPr>
          <w:rFonts w:eastAsia="楷体_GB2312" w:hint="eastAsia"/>
          <w:b/>
        </w:rPr>
        <w:t>十九</w:t>
      </w:r>
      <w:r>
        <w:rPr>
          <w:rFonts w:eastAsia="楷体_GB2312"/>
          <w:b/>
        </w:rPr>
        <w:t>条</w:t>
      </w:r>
      <w:r>
        <w:t xml:space="preserve">  </w:t>
      </w:r>
      <w:r>
        <w:rPr>
          <w:rFonts w:hint="eastAsia"/>
        </w:rPr>
        <w:t>严格政府采购的财务报销制度，对不符合财务规定或手续不全的，财务资产处将拒绝履行报账手续并由当事人承担所有责任。</w:t>
      </w:r>
    </w:p>
    <w:p w:rsidR="00C8127B" w:rsidRDefault="00C8127B" w:rsidP="00C8127B">
      <w:pPr>
        <w:spacing w:line="480" w:lineRule="exact"/>
        <w:ind w:firstLineChars="200" w:firstLine="482"/>
        <w:rPr>
          <w:rFonts w:ascii="宋体" w:hAnsi="宋体"/>
        </w:rPr>
      </w:pPr>
      <w:r>
        <w:rPr>
          <w:rFonts w:eastAsia="楷体_GB2312"/>
          <w:b/>
        </w:rPr>
        <w:t>第</w:t>
      </w:r>
      <w:r>
        <w:rPr>
          <w:rFonts w:eastAsia="楷体_GB2312" w:hint="eastAsia"/>
          <w:b/>
        </w:rPr>
        <w:t>二十条</w:t>
      </w:r>
      <w:r>
        <w:rPr>
          <w:rFonts w:ascii="宋体" w:hAnsi="宋体" w:hint="eastAsia"/>
        </w:rPr>
        <w:t xml:space="preserve">  凡执行政府采购的各种档案资料，如合同、验收单，结算单等，各处室、课题组务必做好保管工作。</w:t>
      </w:r>
    </w:p>
    <w:p w:rsidR="00C8127B" w:rsidRDefault="00C8127B" w:rsidP="00C8127B">
      <w:pPr>
        <w:spacing w:line="480" w:lineRule="exact"/>
        <w:ind w:firstLineChars="200" w:firstLine="482"/>
      </w:pPr>
      <w:r>
        <w:rPr>
          <w:rFonts w:eastAsia="楷体_GB2312" w:hint="eastAsia"/>
          <w:b/>
        </w:rPr>
        <w:t>第二十一条</w:t>
      </w:r>
      <w:r>
        <w:rPr>
          <w:rFonts w:eastAsia="楷体_GB2312" w:hint="eastAsia"/>
          <w:b/>
        </w:rPr>
        <w:t xml:space="preserve">  </w:t>
      </w:r>
      <w:r>
        <w:rPr>
          <w:rFonts w:hint="eastAsia"/>
        </w:rPr>
        <w:t>本办法自信息所办公会议讨论通过之日起开始执行。</w:t>
      </w:r>
    </w:p>
    <w:p w:rsidR="00C8127B" w:rsidRDefault="00C8127B" w:rsidP="00C8127B">
      <w:pPr>
        <w:spacing w:line="480" w:lineRule="exact"/>
        <w:ind w:firstLineChars="200" w:firstLine="482"/>
      </w:pPr>
      <w:r>
        <w:rPr>
          <w:rFonts w:eastAsia="楷体_GB2312" w:hint="eastAsia"/>
          <w:b/>
        </w:rPr>
        <w:t>第二十二条</w:t>
      </w:r>
      <w:r>
        <w:rPr>
          <w:rFonts w:eastAsia="楷体_GB2312" w:hint="eastAsia"/>
          <w:b/>
        </w:rPr>
        <w:t xml:space="preserve">  </w:t>
      </w:r>
      <w:r>
        <w:rPr>
          <w:rFonts w:hint="eastAsia"/>
        </w:rPr>
        <w:t>本办法依据的国家财经法规和信息所的有关规定发生变化时，按新规定执行。</w:t>
      </w:r>
    </w:p>
    <w:p w:rsidR="00C8127B" w:rsidRDefault="00C8127B" w:rsidP="00C8127B">
      <w:pPr>
        <w:spacing w:line="480" w:lineRule="exact"/>
        <w:ind w:firstLineChars="200" w:firstLine="482"/>
      </w:pPr>
      <w:r>
        <w:rPr>
          <w:rFonts w:eastAsia="楷体_GB2312" w:hint="eastAsia"/>
          <w:b/>
        </w:rPr>
        <w:t>第二十三条</w:t>
      </w:r>
      <w:r>
        <w:rPr>
          <w:rFonts w:eastAsia="楷体_GB2312" w:hint="eastAsia"/>
          <w:b/>
        </w:rPr>
        <w:t xml:space="preserve">  </w:t>
      </w:r>
      <w:r>
        <w:rPr>
          <w:rFonts w:hint="eastAsia"/>
        </w:rPr>
        <w:t>本办法由财务资产处负责解释。</w:t>
      </w:r>
    </w:p>
    <w:p w:rsidR="00C8127B" w:rsidRPr="00C8127B" w:rsidRDefault="00C8127B" w:rsidP="00C8127B"/>
    <w:p w:rsidR="00C8127B" w:rsidRPr="00C8127B" w:rsidRDefault="00C8127B" w:rsidP="00C8127B">
      <w:pPr>
        <w:spacing w:line="480" w:lineRule="exact"/>
        <w:ind w:firstLineChars="200" w:firstLine="480"/>
        <w:rPr>
          <w:color w:val="000000"/>
        </w:rPr>
      </w:pPr>
    </w:p>
    <w:p w:rsidR="00C8127B" w:rsidRDefault="00C8127B" w:rsidP="00C8127B">
      <w:pPr>
        <w:spacing w:line="360" w:lineRule="auto"/>
        <w:jc w:val="center"/>
        <w:rPr>
          <w:b/>
          <w:color w:val="000000"/>
        </w:rPr>
      </w:pPr>
    </w:p>
    <w:p w:rsidR="00C8127B" w:rsidRDefault="00C8127B" w:rsidP="00C8127B">
      <w:pPr>
        <w:jc w:val="center"/>
        <w:outlineLvl w:val="0"/>
      </w:pPr>
      <w:r>
        <w:br w:type="page"/>
      </w:r>
    </w:p>
    <w:p w:rsidR="00941303" w:rsidRPr="00C8127B" w:rsidRDefault="00941303" w:rsidP="00C8127B"/>
    <w:sectPr w:rsidR="00941303" w:rsidRPr="00C812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A5" w:rsidRDefault="00A673A5" w:rsidP="00C8127B">
      <w:r>
        <w:separator/>
      </w:r>
    </w:p>
  </w:endnote>
  <w:endnote w:type="continuationSeparator" w:id="0">
    <w:p w:rsidR="00A673A5" w:rsidRDefault="00A673A5" w:rsidP="00C8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Ο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227322"/>
      <w:docPartObj>
        <w:docPartGallery w:val="Page Numbers (Bottom of Page)"/>
        <w:docPartUnique/>
      </w:docPartObj>
    </w:sdtPr>
    <w:sdtEndPr/>
    <w:sdtContent>
      <w:p w:rsidR="00C8127B" w:rsidRDefault="00C8127B">
        <w:pPr>
          <w:pStyle w:val="a7"/>
          <w:jc w:val="center"/>
        </w:pPr>
        <w:r>
          <w:fldChar w:fldCharType="begin"/>
        </w:r>
        <w:r>
          <w:instrText>PAGE   \* MERGEFORMAT</w:instrText>
        </w:r>
        <w:r>
          <w:fldChar w:fldCharType="separate"/>
        </w:r>
        <w:r w:rsidR="00A0148C" w:rsidRPr="00A0148C">
          <w:rPr>
            <w:noProof/>
            <w:lang w:val="zh-CN"/>
          </w:rPr>
          <w:t>2</w:t>
        </w:r>
        <w:r>
          <w:fldChar w:fldCharType="end"/>
        </w:r>
      </w:p>
    </w:sdtContent>
  </w:sdt>
  <w:p w:rsidR="00C8127B" w:rsidRDefault="00C812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A5" w:rsidRDefault="00A673A5" w:rsidP="00C8127B">
      <w:r>
        <w:separator/>
      </w:r>
    </w:p>
  </w:footnote>
  <w:footnote w:type="continuationSeparator" w:id="0">
    <w:p w:rsidR="00A673A5" w:rsidRDefault="00A673A5" w:rsidP="00C8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ind w:left="620" w:hanging="420"/>
      </w:pPr>
      <w:rPr>
        <w:rFonts w:ascii="Times New Roman" w:hAnsi="Times New Roman" w:cs="Times New Roman"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7B"/>
    <w:rsid w:val="0064535E"/>
    <w:rsid w:val="00941303"/>
    <w:rsid w:val="00A0148C"/>
    <w:rsid w:val="00A673A5"/>
    <w:rsid w:val="00C8127B"/>
    <w:rsid w:val="00FE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7B"/>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C8127B"/>
    <w:rPr>
      <w:rFonts w:ascii="宋体" w:hAnsi="Courier New"/>
      <w:szCs w:val="21"/>
    </w:rPr>
  </w:style>
  <w:style w:type="character" w:styleId="a4">
    <w:name w:val="Hyperlink"/>
    <w:rsid w:val="00C8127B"/>
    <w:rPr>
      <w:color w:val="0000FF"/>
      <w:u w:val="single"/>
    </w:rPr>
  </w:style>
  <w:style w:type="paragraph" w:styleId="a5">
    <w:name w:val="Normal (Web)"/>
    <w:basedOn w:val="a"/>
    <w:rsid w:val="00C8127B"/>
    <w:pPr>
      <w:widowControl/>
      <w:spacing w:before="100" w:beforeAutospacing="1" w:after="100" w:afterAutospacing="1"/>
      <w:jc w:val="left"/>
    </w:pPr>
    <w:rPr>
      <w:rFonts w:ascii="Arial Unicode MS" w:eastAsia="Arial Unicode MS" w:hAnsi="Arial Unicode MS" w:cs="Arial Unicode MS"/>
      <w:kern w:val="0"/>
    </w:rPr>
  </w:style>
  <w:style w:type="paragraph" w:styleId="a3">
    <w:name w:val="Plain Text"/>
    <w:basedOn w:val="a"/>
    <w:link w:val="Char"/>
    <w:rsid w:val="00C8127B"/>
    <w:rPr>
      <w:rFonts w:ascii="宋体" w:eastAsiaTheme="minorEastAsia" w:hAnsi="Courier New" w:cstheme="minorBidi"/>
      <w:sz w:val="21"/>
      <w:szCs w:val="21"/>
    </w:rPr>
  </w:style>
  <w:style w:type="character" w:customStyle="1" w:styleId="Char1">
    <w:name w:val="纯文本 Char1"/>
    <w:basedOn w:val="a0"/>
    <w:uiPriority w:val="99"/>
    <w:semiHidden/>
    <w:rsid w:val="00C8127B"/>
    <w:rPr>
      <w:rFonts w:ascii="宋体" w:eastAsia="宋体" w:hAnsi="Courier New" w:cs="Courier New"/>
      <w:szCs w:val="21"/>
    </w:rPr>
  </w:style>
  <w:style w:type="paragraph" w:styleId="a6">
    <w:name w:val="header"/>
    <w:basedOn w:val="a"/>
    <w:link w:val="Char0"/>
    <w:uiPriority w:val="99"/>
    <w:unhideWhenUsed/>
    <w:rsid w:val="00C812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127B"/>
    <w:rPr>
      <w:rFonts w:ascii="Times New Roman" w:eastAsia="宋体" w:hAnsi="Times New Roman" w:cs="Times New Roman"/>
      <w:sz w:val="18"/>
      <w:szCs w:val="18"/>
    </w:rPr>
  </w:style>
  <w:style w:type="paragraph" w:styleId="a7">
    <w:name w:val="footer"/>
    <w:basedOn w:val="a"/>
    <w:link w:val="Char2"/>
    <w:uiPriority w:val="99"/>
    <w:unhideWhenUsed/>
    <w:rsid w:val="00C8127B"/>
    <w:pPr>
      <w:tabs>
        <w:tab w:val="center" w:pos="4153"/>
        <w:tab w:val="right" w:pos="8306"/>
      </w:tabs>
      <w:snapToGrid w:val="0"/>
      <w:jc w:val="left"/>
    </w:pPr>
    <w:rPr>
      <w:sz w:val="18"/>
      <w:szCs w:val="18"/>
    </w:rPr>
  </w:style>
  <w:style w:type="character" w:customStyle="1" w:styleId="Char2">
    <w:name w:val="页脚 Char"/>
    <w:basedOn w:val="a0"/>
    <w:link w:val="a7"/>
    <w:uiPriority w:val="99"/>
    <w:rsid w:val="00C8127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7B"/>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C8127B"/>
    <w:rPr>
      <w:rFonts w:ascii="宋体" w:hAnsi="Courier New"/>
      <w:szCs w:val="21"/>
    </w:rPr>
  </w:style>
  <w:style w:type="character" w:styleId="a4">
    <w:name w:val="Hyperlink"/>
    <w:rsid w:val="00C8127B"/>
    <w:rPr>
      <w:color w:val="0000FF"/>
      <w:u w:val="single"/>
    </w:rPr>
  </w:style>
  <w:style w:type="paragraph" w:styleId="a5">
    <w:name w:val="Normal (Web)"/>
    <w:basedOn w:val="a"/>
    <w:rsid w:val="00C8127B"/>
    <w:pPr>
      <w:widowControl/>
      <w:spacing w:before="100" w:beforeAutospacing="1" w:after="100" w:afterAutospacing="1"/>
      <w:jc w:val="left"/>
    </w:pPr>
    <w:rPr>
      <w:rFonts w:ascii="Arial Unicode MS" w:eastAsia="Arial Unicode MS" w:hAnsi="Arial Unicode MS" w:cs="Arial Unicode MS"/>
      <w:kern w:val="0"/>
    </w:rPr>
  </w:style>
  <w:style w:type="paragraph" w:styleId="a3">
    <w:name w:val="Plain Text"/>
    <w:basedOn w:val="a"/>
    <w:link w:val="Char"/>
    <w:rsid w:val="00C8127B"/>
    <w:rPr>
      <w:rFonts w:ascii="宋体" w:eastAsiaTheme="minorEastAsia" w:hAnsi="Courier New" w:cstheme="minorBidi"/>
      <w:sz w:val="21"/>
      <w:szCs w:val="21"/>
    </w:rPr>
  </w:style>
  <w:style w:type="character" w:customStyle="1" w:styleId="Char1">
    <w:name w:val="纯文本 Char1"/>
    <w:basedOn w:val="a0"/>
    <w:uiPriority w:val="99"/>
    <w:semiHidden/>
    <w:rsid w:val="00C8127B"/>
    <w:rPr>
      <w:rFonts w:ascii="宋体" w:eastAsia="宋体" w:hAnsi="Courier New" w:cs="Courier New"/>
      <w:szCs w:val="21"/>
    </w:rPr>
  </w:style>
  <w:style w:type="paragraph" w:styleId="a6">
    <w:name w:val="header"/>
    <w:basedOn w:val="a"/>
    <w:link w:val="Char0"/>
    <w:uiPriority w:val="99"/>
    <w:unhideWhenUsed/>
    <w:rsid w:val="00C812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127B"/>
    <w:rPr>
      <w:rFonts w:ascii="Times New Roman" w:eastAsia="宋体" w:hAnsi="Times New Roman" w:cs="Times New Roman"/>
      <w:sz w:val="18"/>
      <w:szCs w:val="18"/>
    </w:rPr>
  </w:style>
  <w:style w:type="paragraph" w:styleId="a7">
    <w:name w:val="footer"/>
    <w:basedOn w:val="a"/>
    <w:link w:val="Char2"/>
    <w:uiPriority w:val="99"/>
    <w:unhideWhenUsed/>
    <w:rsid w:val="00C8127B"/>
    <w:pPr>
      <w:tabs>
        <w:tab w:val="center" w:pos="4153"/>
        <w:tab w:val="right" w:pos="8306"/>
      </w:tabs>
      <w:snapToGrid w:val="0"/>
      <w:jc w:val="left"/>
    </w:pPr>
    <w:rPr>
      <w:sz w:val="18"/>
      <w:szCs w:val="18"/>
    </w:rPr>
  </w:style>
  <w:style w:type="character" w:customStyle="1" w:styleId="Char2">
    <w:name w:val="页脚 Char"/>
    <w:basedOn w:val="a0"/>
    <w:link w:val="a7"/>
    <w:uiPriority w:val="99"/>
    <w:rsid w:val="00C812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486</Words>
  <Characters>2775</Characters>
  <Application>Microsoft Office Word</Application>
  <DocSecurity>0</DocSecurity>
  <Lines>23</Lines>
  <Paragraphs>6</Paragraphs>
  <ScaleCrop>false</ScaleCrop>
  <Company>Hewlett-Packard Company</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Dingchun Yan</dc:creator>
  <cp:keywords/>
  <dc:description/>
  <cp:lastModifiedBy>中国农业科学院农业信息研究所</cp:lastModifiedBy>
  <cp:revision>2</cp:revision>
  <dcterms:created xsi:type="dcterms:W3CDTF">2014-09-10T07:37:00Z</dcterms:created>
  <dcterms:modified xsi:type="dcterms:W3CDTF">2014-09-15T02:47:00Z</dcterms:modified>
</cp:coreProperties>
</file>